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1C483C75" w:rsidR="008A22CF" w:rsidRPr="0047271C" w:rsidRDefault="008A22CF" w:rsidP="008A22CF">
      <w:pPr>
        <w:pStyle w:val="3GPPHeader"/>
        <w:spacing w:after="60"/>
        <w:rPr>
          <w:sz w:val="32"/>
          <w:szCs w:val="32"/>
          <w:highlight w:val="yellow"/>
        </w:rPr>
      </w:pPr>
      <w:bookmarkStart w:id="0" w:name="_Hlk487029736"/>
      <w:bookmarkEnd w:id="0"/>
      <w:r w:rsidRPr="0047271C">
        <w:t>3GPP TSG-RAN WG4</w:t>
      </w:r>
      <w:r w:rsidR="001D4850" w:rsidRPr="0047271C">
        <w:t xml:space="preserve"> </w:t>
      </w:r>
      <w:r w:rsidR="00F52D0A" w:rsidRPr="0047271C">
        <w:t>m</w:t>
      </w:r>
      <w:r w:rsidR="001D4850" w:rsidRPr="0047271C">
        <w:t>eeting</w:t>
      </w:r>
      <w:r w:rsidR="005071CC" w:rsidRPr="0047271C">
        <w:t xml:space="preserve"> </w:t>
      </w:r>
      <w:r w:rsidR="005D1E89" w:rsidRPr="0047271C">
        <w:t>#</w:t>
      </w:r>
      <w:r w:rsidR="00615DC1" w:rsidRPr="0047271C">
        <w:t>9</w:t>
      </w:r>
      <w:r w:rsidR="007C6966">
        <w:t>6</w:t>
      </w:r>
      <w:r w:rsidR="00DB6BB2" w:rsidRPr="0047271C">
        <w:t>-e</w:t>
      </w:r>
      <w:r w:rsidRPr="0047271C">
        <w:tab/>
      </w:r>
      <w:r w:rsidR="004B60B9" w:rsidRPr="0047271C">
        <w:rPr>
          <w:szCs w:val="24"/>
        </w:rPr>
        <w:t>R4-</w:t>
      </w:r>
      <w:r w:rsidR="00ED1643" w:rsidRPr="0047271C">
        <w:rPr>
          <w:szCs w:val="24"/>
        </w:rPr>
        <w:t>20</w:t>
      </w:r>
      <w:r w:rsidR="00F23841">
        <w:rPr>
          <w:szCs w:val="24"/>
        </w:rPr>
        <w:t>10481</w:t>
      </w:r>
    </w:p>
    <w:p w14:paraId="500197F1" w14:textId="1A131295" w:rsidR="005D1E89" w:rsidRPr="0047271C" w:rsidRDefault="00DB6BB2" w:rsidP="005D1E89">
      <w:pPr>
        <w:pStyle w:val="3GPPHeader"/>
      </w:pPr>
      <w:bookmarkStart w:id="1" w:name="OLE_LINK3"/>
      <w:bookmarkStart w:id="2" w:name="OLE_LINK4"/>
      <w:r w:rsidRPr="0047271C">
        <w:t>Electronic</w:t>
      </w:r>
      <w:r w:rsidR="0095518F" w:rsidRPr="0047271C">
        <w:t xml:space="preserve"> </w:t>
      </w:r>
      <w:r w:rsidRPr="0047271C">
        <w:t>Meeting</w:t>
      </w:r>
      <w:r w:rsidR="00526BF8" w:rsidRPr="0047271C">
        <w:t xml:space="preserve">, </w:t>
      </w:r>
      <w:r w:rsidR="007C6966">
        <w:t>17</w:t>
      </w:r>
      <w:r w:rsidR="00344FCD" w:rsidRPr="0047271C">
        <w:t xml:space="preserve"> </w:t>
      </w:r>
      <w:r w:rsidR="00526BF8" w:rsidRPr="0047271C">
        <w:t xml:space="preserve">– </w:t>
      </w:r>
      <w:r w:rsidR="007C6966">
        <w:t>28</w:t>
      </w:r>
      <w:r w:rsidR="005D1E89" w:rsidRPr="0047271C">
        <w:t xml:space="preserve"> </w:t>
      </w:r>
      <w:r w:rsidR="007C6966">
        <w:t>August</w:t>
      </w:r>
      <w:r w:rsidR="005D1E89" w:rsidRPr="0047271C">
        <w:t xml:space="preserve"> 20</w:t>
      </w:r>
      <w:r w:rsidR="00ED1643" w:rsidRPr="0047271C">
        <w:t>20</w:t>
      </w:r>
    </w:p>
    <w:bookmarkEnd w:id="1"/>
    <w:bookmarkEnd w:id="2"/>
    <w:p w14:paraId="65F55581" w14:textId="77777777" w:rsidR="008A22CF" w:rsidRPr="0047271C" w:rsidRDefault="008A22CF" w:rsidP="008A22CF">
      <w:pPr>
        <w:pStyle w:val="3GPPHeader"/>
      </w:pPr>
    </w:p>
    <w:p w14:paraId="0FDE225D" w14:textId="7BC711F4" w:rsidR="008A22CF" w:rsidRPr="0047271C" w:rsidRDefault="008A22CF" w:rsidP="008A22CF">
      <w:pPr>
        <w:pStyle w:val="3GPPHeader"/>
        <w:rPr>
          <w:sz w:val="22"/>
        </w:rPr>
      </w:pPr>
      <w:r w:rsidRPr="0047271C">
        <w:rPr>
          <w:sz w:val="22"/>
        </w:rPr>
        <w:t>Agenda Item:</w:t>
      </w:r>
      <w:r w:rsidRPr="0047271C">
        <w:rPr>
          <w:sz w:val="22"/>
        </w:rPr>
        <w:tab/>
      </w:r>
      <w:r w:rsidR="00F23841">
        <w:rPr>
          <w:sz w:val="22"/>
        </w:rPr>
        <w:t>7.9.3.2</w:t>
      </w:r>
    </w:p>
    <w:p w14:paraId="57D8FDDC" w14:textId="59E8C7E0" w:rsidR="008A22CF" w:rsidRPr="0047271C" w:rsidRDefault="008A22CF" w:rsidP="008A22CF">
      <w:pPr>
        <w:pStyle w:val="3GPPHeader"/>
        <w:rPr>
          <w:sz w:val="22"/>
        </w:rPr>
      </w:pPr>
      <w:r w:rsidRPr="0047271C">
        <w:rPr>
          <w:sz w:val="22"/>
        </w:rPr>
        <w:t>Source:</w:t>
      </w:r>
      <w:r w:rsidRPr="0047271C">
        <w:rPr>
          <w:sz w:val="22"/>
        </w:rPr>
        <w:tab/>
        <w:t>Ericsson</w:t>
      </w:r>
    </w:p>
    <w:p w14:paraId="3A8FC3FA" w14:textId="7A532AB4" w:rsidR="008A22CF" w:rsidRPr="0047271C" w:rsidRDefault="008A22CF" w:rsidP="008A22CF">
      <w:pPr>
        <w:pStyle w:val="3GPPHeader"/>
        <w:rPr>
          <w:sz w:val="22"/>
        </w:rPr>
      </w:pPr>
      <w:r w:rsidRPr="0047271C">
        <w:rPr>
          <w:sz w:val="22"/>
        </w:rPr>
        <w:t>Title:</w:t>
      </w:r>
      <w:r w:rsidRPr="0047271C">
        <w:rPr>
          <w:sz w:val="22"/>
        </w:rPr>
        <w:tab/>
      </w:r>
      <w:r w:rsidR="00ED714C">
        <w:rPr>
          <w:sz w:val="22"/>
        </w:rPr>
        <w:t xml:space="preserve">PDSCH requirements for </w:t>
      </w:r>
      <w:r w:rsidR="00F25C1B">
        <w:rPr>
          <w:sz w:val="22"/>
        </w:rPr>
        <w:t>M</w:t>
      </w:r>
      <w:r w:rsidR="00B015D9" w:rsidRPr="00B015D9">
        <w:rPr>
          <w:sz w:val="22"/>
        </w:rPr>
        <w:t>ulti-DCI</w:t>
      </w:r>
      <w:r w:rsidR="00F25C1B">
        <w:rPr>
          <w:sz w:val="22"/>
        </w:rPr>
        <w:t>/Single-DCI</w:t>
      </w:r>
      <w:r w:rsidR="00B015D9" w:rsidRPr="00B015D9">
        <w:rPr>
          <w:sz w:val="22"/>
        </w:rPr>
        <w:t xml:space="preserve"> based</w:t>
      </w:r>
      <w:r w:rsidR="00CB399C">
        <w:rPr>
          <w:sz w:val="22"/>
        </w:rPr>
        <w:t xml:space="preserve"> transmission</w:t>
      </w:r>
    </w:p>
    <w:p w14:paraId="385E2C9B" w14:textId="5B6E49A1" w:rsidR="008A22CF" w:rsidRPr="0047271C" w:rsidRDefault="008A22CF" w:rsidP="008A22CF">
      <w:pPr>
        <w:pStyle w:val="3GPPHeader"/>
        <w:rPr>
          <w:sz w:val="22"/>
        </w:rPr>
      </w:pPr>
      <w:r w:rsidRPr="0047271C">
        <w:rPr>
          <w:sz w:val="22"/>
        </w:rPr>
        <w:t>Document for:</w:t>
      </w:r>
      <w:r w:rsidRPr="0047271C">
        <w:rPr>
          <w:sz w:val="22"/>
        </w:rPr>
        <w:tab/>
      </w:r>
      <w:r w:rsidR="00754F0A" w:rsidRPr="0047271C">
        <w:rPr>
          <w:sz w:val="22"/>
        </w:rPr>
        <w:t>Discussion</w:t>
      </w:r>
    </w:p>
    <w:p w14:paraId="1DE8240F" w14:textId="388AA342" w:rsidR="009B01F8" w:rsidRDefault="009B01F8" w:rsidP="009B01F8">
      <w:pPr>
        <w:pStyle w:val="Heading1"/>
        <w:rPr>
          <w:lang w:val="en-US"/>
        </w:rPr>
      </w:pPr>
      <w:r w:rsidRPr="0047271C">
        <w:rPr>
          <w:lang w:val="en-US"/>
        </w:rPr>
        <w:t>1</w:t>
      </w:r>
      <w:r w:rsidRPr="0047271C">
        <w:rPr>
          <w:lang w:val="en-US"/>
        </w:rPr>
        <w:tab/>
        <w:t>Introduction</w:t>
      </w:r>
    </w:p>
    <w:p w14:paraId="39A5E59B" w14:textId="64A422D6" w:rsidR="006A3571" w:rsidRPr="00F818F2" w:rsidRDefault="00F818F2" w:rsidP="006A3571">
      <w:pPr>
        <w:rPr>
          <w:lang w:val="en-GB"/>
        </w:rPr>
      </w:pPr>
      <w:r>
        <w:rPr>
          <w:lang w:val="en-GB"/>
        </w:rPr>
        <w:t xml:space="preserve">RAN1 has introduced </w:t>
      </w:r>
      <w:r w:rsidR="00CA6A54">
        <w:rPr>
          <w:lang w:val="en-GB"/>
        </w:rPr>
        <w:t>one m</w:t>
      </w:r>
      <w:r w:rsidR="00F934B9">
        <w:rPr>
          <w:lang w:val="en-GB"/>
        </w:rPr>
        <w:t>ulti-</w:t>
      </w:r>
      <w:r w:rsidR="00CA6A54">
        <w:rPr>
          <w:lang w:val="en-GB"/>
        </w:rPr>
        <w:t>DCI</w:t>
      </w:r>
      <w:r w:rsidR="00F934B9">
        <w:rPr>
          <w:lang w:val="en-GB"/>
        </w:rPr>
        <w:t xml:space="preserve"> </w:t>
      </w:r>
      <w:r w:rsidR="00CA6A54">
        <w:rPr>
          <w:lang w:val="en-GB"/>
        </w:rPr>
        <w:t xml:space="preserve">based transmission scheme and </w:t>
      </w:r>
      <w:r>
        <w:rPr>
          <w:lang w:val="en-GB"/>
        </w:rPr>
        <w:t>5 s</w:t>
      </w:r>
      <w:r w:rsidR="00F934B9">
        <w:rPr>
          <w:lang w:val="en-GB"/>
        </w:rPr>
        <w:t>ingle-</w:t>
      </w:r>
      <w:r>
        <w:rPr>
          <w:lang w:val="en-GB"/>
        </w:rPr>
        <w:t>DCI</w:t>
      </w:r>
      <w:r w:rsidR="00F934B9">
        <w:rPr>
          <w:lang w:val="en-GB"/>
        </w:rPr>
        <w:t xml:space="preserve"> </w:t>
      </w:r>
      <w:r>
        <w:rPr>
          <w:lang w:val="en-GB"/>
        </w:rPr>
        <w:t xml:space="preserve">based transmission schemes as shown in </w:t>
      </w:r>
      <w:r w:rsidR="00CA4637">
        <w:rPr>
          <w:lang w:val="en-GB"/>
        </w:rPr>
        <w:fldChar w:fldCharType="begin"/>
      </w:r>
      <w:r w:rsidR="00CA4637">
        <w:rPr>
          <w:lang w:val="en-GB"/>
        </w:rPr>
        <w:instrText xml:space="preserve"> REF _Ref47426375 \h </w:instrText>
      </w:r>
      <w:r w:rsidR="00CA4637">
        <w:rPr>
          <w:lang w:val="en-GB"/>
        </w:rPr>
      </w:r>
      <w:r w:rsidR="00CA4637">
        <w:rPr>
          <w:lang w:val="en-GB"/>
        </w:rPr>
        <w:fldChar w:fldCharType="separate"/>
      </w:r>
      <w:r w:rsidR="00CA4637">
        <w:t xml:space="preserve">Table </w:t>
      </w:r>
      <w:r w:rsidR="00CA4637">
        <w:rPr>
          <w:noProof/>
        </w:rPr>
        <w:t>1</w:t>
      </w:r>
      <w:r w:rsidR="00CA4637">
        <w:rPr>
          <w:lang w:val="en-GB"/>
        </w:rPr>
        <w:fldChar w:fldCharType="end"/>
      </w:r>
      <w:r w:rsidR="00CA4637">
        <w:rPr>
          <w:lang w:val="en-GB"/>
        </w:rPr>
        <w:t xml:space="preserve"> </w:t>
      </w:r>
      <w:r>
        <w:rPr>
          <w:lang w:val="en-GB"/>
        </w:rPr>
        <w:t>and RAN4</w:t>
      </w:r>
      <w:r w:rsidR="00CA4637">
        <w:rPr>
          <w:lang w:val="en-GB"/>
        </w:rPr>
        <w:t xml:space="preserve"> has agreed to define at least PDSCH with multi-DCI based scheme and single-DCI based SDM scheme. </w:t>
      </w:r>
    </w:p>
    <w:p w14:paraId="2FE8D020" w14:textId="2CB779CA" w:rsidR="00296E84" w:rsidRDefault="006A3571" w:rsidP="006A3571">
      <w:pPr>
        <w:pStyle w:val="Caption"/>
      </w:pPr>
      <w:bookmarkStart w:id="3" w:name="_Ref47426375"/>
      <w:r>
        <w:t xml:space="preserve">Table </w:t>
      </w:r>
      <w:r w:rsidR="00CD6D83">
        <w:fldChar w:fldCharType="begin"/>
      </w:r>
      <w:r w:rsidR="00CD6D83">
        <w:instrText xml:space="preserve"> SEQ Table \* ARABIC </w:instrText>
      </w:r>
      <w:r w:rsidR="00CD6D83">
        <w:fldChar w:fldCharType="separate"/>
      </w:r>
      <w:r w:rsidR="00F818F2">
        <w:rPr>
          <w:noProof/>
        </w:rPr>
        <w:t>1</w:t>
      </w:r>
      <w:r w:rsidR="00CD6D83">
        <w:rPr>
          <w:noProof/>
        </w:rPr>
        <w:fldChar w:fldCharType="end"/>
      </w:r>
      <w:bookmarkEnd w:id="3"/>
      <w:r>
        <w:tab/>
        <w:t xml:space="preserve">Multi-TRP transmission schemes in traduced in NR eMIMO WI. </w:t>
      </w:r>
    </w:p>
    <w:tbl>
      <w:tblPr>
        <w:tblStyle w:val="TableGrid"/>
        <w:tblW w:w="0" w:type="auto"/>
        <w:tblLook w:val="04A0" w:firstRow="1" w:lastRow="0" w:firstColumn="1" w:lastColumn="0" w:noHBand="0" w:noVBand="1"/>
      </w:tblPr>
      <w:tblGrid>
        <w:gridCol w:w="2972"/>
        <w:gridCol w:w="6657"/>
      </w:tblGrid>
      <w:tr w:rsidR="00296E84" w14:paraId="3EF9B475" w14:textId="77777777" w:rsidTr="001C5AA0">
        <w:tc>
          <w:tcPr>
            <w:tcW w:w="2972" w:type="dxa"/>
          </w:tcPr>
          <w:p w14:paraId="4C83E704" w14:textId="77777777" w:rsidR="00296E84" w:rsidRDefault="00296E84" w:rsidP="001C5AA0">
            <w:pPr>
              <w:pStyle w:val="TAH"/>
              <w:rPr>
                <w:lang w:val="en-GB"/>
              </w:rPr>
            </w:pPr>
            <w:r>
              <w:rPr>
                <w:lang w:val="en-GB"/>
              </w:rPr>
              <w:t>Transmission scheme</w:t>
            </w:r>
          </w:p>
        </w:tc>
        <w:tc>
          <w:tcPr>
            <w:tcW w:w="6657" w:type="dxa"/>
          </w:tcPr>
          <w:p w14:paraId="7B427119" w14:textId="77777777" w:rsidR="00296E84" w:rsidRDefault="00296E84" w:rsidP="001C5AA0">
            <w:pPr>
              <w:pStyle w:val="TAH"/>
              <w:rPr>
                <w:lang w:val="en-GB"/>
              </w:rPr>
            </w:pPr>
            <w:r>
              <w:rPr>
                <w:lang w:val="en-GB"/>
              </w:rPr>
              <w:t>Description</w:t>
            </w:r>
          </w:p>
        </w:tc>
      </w:tr>
      <w:tr w:rsidR="0013415D" w14:paraId="1A320B07" w14:textId="77777777" w:rsidTr="001C5AA0">
        <w:tc>
          <w:tcPr>
            <w:tcW w:w="2972" w:type="dxa"/>
          </w:tcPr>
          <w:p w14:paraId="6AF3B288" w14:textId="624D5A96" w:rsidR="0013415D" w:rsidRDefault="0013415D" w:rsidP="0013415D">
            <w:pPr>
              <w:pStyle w:val="TAL"/>
              <w:rPr>
                <w:lang w:val="en-GB"/>
              </w:rPr>
            </w:pPr>
            <w:r>
              <w:rPr>
                <w:lang w:val="en-GB"/>
              </w:rPr>
              <w:t>Multi-DCI based scheme</w:t>
            </w:r>
          </w:p>
        </w:tc>
        <w:tc>
          <w:tcPr>
            <w:tcW w:w="6657" w:type="dxa"/>
          </w:tcPr>
          <w:p w14:paraId="2214FCC6" w14:textId="042301C9" w:rsidR="0013415D" w:rsidRDefault="0013415D" w:rsidP="0013415D">
            <w:pPr>
              <w:pStyle w:val="TAL"/>
              <w:numPr>
                <w:ilvl w:val="0"/>
                <w:numId w:val="37"/>
              </w:numPr>
              <w:rPr>
                <w:lang w:val="en-GB"/>
              </w:rPr>
            </w:pPr>
            <w:r>
              <w:rPr>
                <w:lang w:val="en-GB"/>
              </w:rPr>
              <w:t xml:space="preserve">Each DCI can schedule PDSCH independently. </w:t>
            </w:r>
          </w:p>
        </w:tc>
      </w:tr>
      <w:tr w:rsidR="00296E84" w14:paraId="16DB6BB6" w14:textId="77777777" w:rsidTr="001C5AA0">
        <w:tc>
          <w:tcPr>
            <w:tcW w:w="2972" w:type="dxa"/>
          </w:tcPr>
          <w:p w14:paraId="0C8CC765" w14:textId="77777777" w:rsidR="00296E84" w:rsidRPr="00391483" w:rsidRDefault="00296E84" w:rsidP="0013415D">
            <w:pPr>
              <w:pStyle w:val="TAL"/>
              <w:rPr>
                <w:lang w:val="en-GB"/>
              </w:rPr>
            </w:pPr>
            <w:r w:rsidRPr="00391483">
              <w:rPr>
                <w:lang w:val="en-GB"/>
              </w:rPr>
              <w:t>Single-DCI based SDM scheme</w:t>
            </w:r>
          </w:p>
        </w:tc>
        <w:tc>
          <w:tcPr>
            <w:tcW w:w="6657" w:type="dxa"/>
          </w:tcPr>
          <w:p w14:paraId="0FCA2DD5" w14:textId="77777777" w:rsidR="00296E84" w:rsidRDefault="00296E84" w:rsidP="0013415D">
            <w:pPr>
              <w:pStyle w:val="TAL"/>
              <w:numPr>
                <w:ilvl w:val="0"/>
                <w:numId w:val="36"/>
              </w:numPr>
              <w:rPr>
                <w:lang w:val="en-GB"/>
              </w:rPr>
            </w:pPr>
            <w:r>
              <w:rPr>
                <w:lang w:val="en-GB"/>
              </w:rPr>
              <w:t>Transmit one or two transport blocks.</w:t>
            </w:r>
          </w:p>
          <w:p w14:paraId="5A4D0A70" w14:textId="77777777" w:rsidR="00296E84" w:rsidRDefault="00296E84" w:rsidP="0013415D">
            <w:pPr>
              <w:pStyle w:val="TAL"/>
              <w:numPr>
                <w:ilvl w:val="0"/>
                <w:numId w:val="36"/>
              </w:numPr>
              <w:rPr>
                <w:lang w:val="en-GB"/>
              </w:rPr>
            </w:pPr>
            <w:r>
              <w:rPr>
                <w:lang w:val="en-GB"/>
              </w:rPr>
              <w:t>Two TCIs from different TRP can schedule different set of layers, e.g., layer 0 from TRP#0 and layer 1 from TRP#1.</w:t>
            </w:r>
          </w:p>
          <w:p w14:paraId="58963E28" w14:textId="77777777" w:rsidR="00296E84" w:rsidRDefault="00296E84" w:rsidP="0013415D">
            <w:pPr>
              <w:pStyle w:val="TAL"/>
              <w:numPr>
                <w:ilvl w:val="0"/>
                <w:numId w:val="36"/>
              </w:numPr>
              <w:rPr>
                <w:lang w:val="en-GB"/>
              </w:rPr>
            </w:pPr>
            <w:r>
              <w:rPr>
                <w:lang w:val="en-GB"/>
              </w:rPr>
              <w:t>Two PDSCH symbols are fully-overlapped in frequency and time domain.</w:t>
            </w:r>
          </w:p>
        </w:tc>
      </w:tr>
      <w:tr w:rsidR="00296E84" w14:paraId="0B9D32D0" w14:textId="77777777" w:rsidTr="001C5AA0">
        <w:tc>
          <w:tcPr>
            <w:tcW w:w="2972" w:type="dxa"/>
          </w:tcPr>
          <w:p w14:paraId="7ABFDD29" w14:textId="77777777" w:rsidR="00296E84" w:rsidRPr="00391483" w:rsidRDefault="00296E84" w:rsidP="0013415D">
            <w:pPr>
              <w:pStyle w:val="TAL"/>
              <w:rPr>
                <w:lang w:val="en-GB"/>
              </w:rPr>
            </w:pPr>
            <w:r w:rsidRPr="00391483">
              <w:rPr>
                <w:lang w:val="en-GB"/>
              </w:rPr>
              <w:t>Single-DCI based FDM Scheme A</w:t>
            </w:r>
          </w:p>
        </w:tc>
        <w:tc>
          <w:tcPr>
            <w:tcW w:w="6657" w:type="dxa"/>
          </w:tcPr>
          <w:p w14:paraId="2D946901" w14:textId="77777777" w:rsidR="00296E84" w:rsidRDefault="00296E84" w:rsidP="0013415D">
            <w:pPr>
              <w:pStyle w:val="TAL"/>
              <w:numPr>
                <w:ilvl w:val="0"/>
                <w:numId w:val="36"/>
              </w:numPr>
              <w:rPr>
                <w:lang w:val="en-GB"/>
              </w:rPr>
            </w:pPr>
            <w:r w:rsidRPr="00712928">
              <w:rPr>
                <w:lang w:val="en-GB"/>
              </w:rPr>
              <w:t xml:space="preserve">Single PDSCH transmission occasion </w:t>
            </w:r>
            <w:r>
              <w:rPr>
                <w:lang w:val="en-GB"/>
              </w:rPr>
              <w:t>for one transport block scheduled with a single redundancy version.</w:t>
            </w:r>
          </w:p>
          <w:p w14:paraId="318D0FA0" w14:textId="77777777" w:rsidR="00296E84" w:rsidRDefault="00296E84" w:rsidP="0013415D">
            <w:pPr>
              <w:pStyle w:val="TAL"/>
              <w:numPr>
                <w:ilvl w:val="0"/>
                <w:numId w:val="36"/>
              </w:numPr>
              <w:rPr>
                <w:lang w:val="en-GB"/>
              </w:rPr>
            </w:pPr>
            <w:r>
              <w:rPr>
                <w:lang w:val="en-GB"/>
              </w:rPr>
              <w:t xml:space="preserve">Some PDSCH PRBs from TRP#0, other PDSCH PRBs from TRP#1. They are non-overlapped in frequency domain, but overlapped in time domain.  </w:t>
            </w:r>
          </w:p>
        </w:tc>
      </w:tr>
      <w:tr w:rsidR="00296E84" w:rsidRPr="00391483" w14:paraId="7D849DB5" w14:textId="77777777" w:rsidTr="001C5AA0">
        <w:tc>
          <w:tcPr>
            <w:tcW w:w="2972" w:type="dxa"/>
          </w:tcPr>
          <w:p w14:paraId="28B30631" w14:textId="77777777" w:rsidR="00296E84" w:rsidRDefault="00296E84" w:rsidP="0013415D">
            <w:pPr>
              <w:pStyle w:val="TAL"/>
              <w:rPr>
                <w:lang w:val="en-GB"/>
              </w:rPr>
            </w:pPr>
            <w:r>
              <w:rPr>
                <w:lang w:val="en-GB"/>
              </w:rPr>
              <w:t>Single-DCI based FDM Scheme B</w:t>
            </w:r>
          </w:p>
        </w:tc>
        <w:tc>
          <w:tcPr>
            <w:tcW w:w="6657" w:type="dxa"/>
          </w:tcPr>
          <w:p w14:paraId="77015B37" w14:textId="77777777" w:rsidR="00296E84" w:rsidRDefault="00296E84" w:rsidP="0013415D">
            <w:pPr>
              <w:pStyle w:val="TAL"/>
              <w:numPr>
                <w:ilvl w:val="0"/>
                <w:numId w:val="36"/>
              </w:numPr>
              <w:rPr>
                <w:lang w:val="en-GB"/>
              </w:rPr>
            </w:pPr>
            <w:r w:rsidRPr="00391483">
              <w:rPr>
                <w:lang w:val="en-GB"/>
              </w:rPr>
              <w:t>Two PDSCH transmission occasions for one transport block</w:t>
            </w:r>
            <w:r>
              <w:rPr>
                <w:lang w:val="en-GB"/>
              </w:rPr>
              <w:t xml:space="preserve"> each scheduled with two redundancy versions.</w:t>
            </w:r>
          </w:p>
          <w:p w14:paraId="0A154FE2" w14:textId="77777777" w:rsidR="00296E84" w:rsidRPr="00391483" w:rsidRDefault="00296E84" w:rsidP="0013415D">
            <w:pPr>
              <w:pStyle w:val="TAL"/>
              <w:numPr>
                <w:ilvl w:val="0"/>
                <w:numId w:val="36"/>
              </w:numPr>
              <w:rPr>
                <w:lang w:val="en-GB"/>
              </w:rPr>
            </w:pPr>
            <w:r w:rsidRPr="00391483">
              <w:rPr>
                <w:lang w:val="en-GB"/>
              </w:rPr>
              <w:t>PDSCH</w:t>
            </w:r>
            <w:r>
              <w:rPr>
                <w:lang w:val="en-GB"/>
              </w:rPr>
              <w:t xml:space="preserve"> from different TRPs are non-overlapped in frequency domain but overlapped in time domain.</w:t>
            </w:r>
          </w:p>
          <w:p w14:paraId="6EA6512A" w14:textId="77777777" w:rsidR="00296E84" w:rsidRPr="00391483" w:rsidRDefault="00296E84" w:rsidP="0013415D">
            <w:pPr>
              <w:pStyle w:val="TAL"/>
              <w:numPr>
                <w:ilvl w:val="0"/>
                <w:numId w:val="36"/>
              </w:numPr>
              <w:rPr>
                <w:lang w:val="en-GB"/>
              </w:rPr>
            </w:pPr>
            <w:r>
              <w:rPr>
                <w:lang w:val="en-GB"/>
              </w:rPr>
              <w:t xml:space="preserve">Subject to UE capability, </w:t>
            </w:r>
            <w:r w:rsidRPr="00391483">
              <w:rPr>
                <w:lang w:val="en-GB"/>
              </w:rPr>
              <w:t>UE can combine</w:t>
            </w:r>
            <w:r>
              <w:rPr>
                <w:lang w:val="en-GB"/>
              </w:rPr>
              <w:t xml:space="preserve"> </w:t>
            </w:r>
            <w:r w:rsidRPr="00391483">
              <w:rPr>
                <w:lang w:val="en-GB"/>
              </w:rPr>
              <w:t xml:space="preserve">PDSCH symbols </w:t>
            </w:r>
            <w:r>
              <w:rPr>
                <w:lang w:val="en-GB"/>
              </w:rPr>
              <w:t>from two PDSCH transmission occasions.</w:t>
            </w:r>
          </w:p>
        </w:tc>
      </w:tr>
      <w:tr w:rsidR="00296E84" w:rsidRPr="00391483" w14:paraId="78D81396" w14:textId="77777777" w:rsidTr="001C5AA0">
        <w:tc>
          <w:tcPr>
            <w:tcW w:w="2972" w:type="dxa"/>
          </w:tcPr>
          <w:p w14:paraId="63A326DB" w14:textId="77777777" w:rsidR="00296E84" w:rsidRDefault="00296E84" w:rsidP="0013415D">
            <w:pPr>
              <w:pStyle w:val="TAL"/>
              <w:rPr>
                <w:lang w:val="en-GB"/>
              </w:rPr>
            </w:pPr>
            <w:r>
              <w:rPr>
                <w:lang w:val="en-GB"/>
              </w:rPr>
              <w:t>Single-DCI based TDM Scheme A</w:t>
            </w:r>
          </w:p>
        </w:tc>
        <w:tc>
          <w:tcPr>
            <w:tcW w:w="6657" w:type="dxa"/>
          </w:tcPr>
          <w:p w14:paraId="05169460" w14:textId="77777777" w:rsidR="00296E84" w:rsidRPr="00391483" w:rsidRDefault="00296E84" w:rsidP="0013415D">
            <w:pPr>
              <w:pStyle w:val="TAL"/>
              <w:numPr>
                <w:ilvl w:val="0"/>
                <w:numId w:val="36"/>
              </w:numPr>
              <w:rPr>
                <w:lang w:val="en-GB"/>
              </w:rPr>
            </w:pPr>
            <w:r w:rsidRPr="00391483">
              <w:rPr>
                <w:lang w:val="en-GB"/>
              </w:rPr>
              <w:t>Subslot-based TDM</w:t>
            </w:r>
            <w:r>
              <w:rPr>
                <w:lang w:val="en-GB"/>
              </w:rPr>
              <w:t xml:space="preserve">, i.e., PDSCH from two TRPs are non-overlapped in time domain but overlapped in frequency domain. </w:t>
            </w:r>
          </w:p>
          <w:p w14:paraId="4E46E12B" w14:textId="77777777" w:rsidR="00296E84" w:rsidRPr="00391483" w:rsidRDefault="00296E84" w:rsidP="0013415D">
            <w:pPr>
              <w:pStyle w:val="TAL"/>
              <w:numPr>
                <w:ilvl w:val="0"/>
                <w:numId w:val="36"/>
              </w:numPr>
              <w:rPr>
                <w:lang w:val="en-GB"/>
              </w:rPr>
            </w:pPr>
            <w:r w:rsidRPr="00391483">
              <w:rPr>
                <w:lang w:val="en-GB"/>
              </w:rPr>
              <w:t>Two PDSCH transmission occasions for one transport block</w:t>
            </w:r>
            <w:r>
              <w:rPr>
                <w:lang w:val="en-GB"/>
              </w:rPr>
              <w:t xml:space="preserve"> each scheduled with two redundancy versions.</w:t>
            </w:r>
          </w:p>
          <w:p w14:paraId="1039149A" w14:textId="77777777" w:rsidR="00296E84" w:rsidRPr="00391483" w:rsidRDefault="00296E84" w:rsidP="0013415D">
            <w:pPr>
              <w:pStyle w:val="TAL"/>
              <w:numPr>
                <w:ilvl w:val="0"/>
                <w:numId w:val="36"/>
              </w:numPr>
              <w:rPr>
                <w:lang w:val="en-GB"/>
              </w:rPr>
            </w:pPr>
            <w:r w:rsidRPr="00391483">
              <w:rPr>
                <w:lang w:val="en-GB"/>
              </w:rPr>
              <w:t>UE can combine</w:t>
            </w:r>
            <w:r>
              <w:rPr>
                <w:lang w:val="en-GB"/>
              </w:rPr>
              <w:t xml:space="preserve"> </w:t>
            </w:r>
            <w:r w:rsidRPr="00391483">
              <w:rPr>
                <w:lang w:val="en-GB"/>
              </w:rPr>
              <w:t xml:space="preserve">PDSCH symbols </w:t>
            </w:r>
            <w:r>
              <w:rPr>
                <w:lang w:val="en-GB"/>
              </w:rPr>
              <w:t>from two PDSCH transmission occasions.</w:t>
            </w:r>
          </w:p>
        </w:tc>
      </w:tr>
      <w:tr w:rsidR="00296E84" w14:paraId="6FC68DFF" w14:textId="77777777" w:rsidTr="001C5AA0">
        <w:tc>
          <w:tcPr>
            <w:tcW w:w="2972" w:type="dxa"/>
            <w:shd w:val="clear" w:color="auto" w:fill="auto"/>
          </w:tcPr>
          <w:p w14:paraId="147451D0" w14:textId="77777777" w:rsidR="00296E84" w:rsidRPr="00E4664C" w:rsidRDefault="00296E84" w:rsidP="0013415D">
            <w:pPr>
              <w:pStyle w:val="TAL"/>
              <w:rPr>
                <w:lang w:val="en-GB"/>
              </w:rPr>
            </w:pPr>
            <w:r w:rsidRPr="00E4664C">
              <w:rPr>
                <w:lang w:val="en-GB"/>
              </w:rPr>
              <w:t>Single-DCI based inter-slot TDM</w:t>
            </w:r>
          </w:p>
        </w:tc>
        <w:tc>
          <w:tcPr>
            <w:tcW w:w="6657" w:type="dxa"/>
          </w:tcPr>
          <w:p w14:paraId="4D7356D4" w14:textId="77777777" w:rsidR="00296E84" w:rsidRDefault="00296E84" w:rsidP="0013415D">
            <w:pPr>
              <w:pStyle w:val="TAL"/>
              <w:numPr>
                <w:ilvl w:val="0"/>
                <w:numId w:val="36"/>
              </w:numPr>
              <w:rPr>
                <w:lang w:val="en-GB"/>
              </w:rPr>
            </w:pPr>
            <w:r>
              <w:rPr>
                <w:lang w:val="en-GB"/>
              </w:rPr>
              <w:t>Slot-based TDM, i.e., PDSCH from two TRPs are non-overlapped in time domain but overlapped in frequency domain.</w:t>
            </w:r>
          </w:p>
          <w:p w14:paraId="5CD6DAAE" w14:textId="77777777" w:rsidR="00296E84" w:rsidRDefault="00296E84" w:rsidP="0013415D">
            <w:pPr>
              <w:pStyle w:val="TAL"/>
              <w:numPr>
                <w:ilvl w:val="0"/>
                <w:numId w:val="36"/>
              </w:numPr>
              <w:rPr>
                <w:lang w:val="en-GB"/>
              </w:rPr>
            </w:pPr>
            <w:r>
              <w:rPr>
                <w:lang w:val="en-GB"/>
              </w:rPr>
              <w:t>The number of repetitions is configured by RepNumR16.</w:t>
            </w:r>
          </w:p>
          <w:p w14:paraId="399032FB" w14:textId="77777777" w:rsidR="00296E84" w:rsidRDefault="00296E84" w:rsidP="0013415D">
            <w:pPr>
              <w:pStyle w:val="TAL"/>
              <w:numPr>
                <w:ilvl w:val="0"/>
                <w:numId w:val="36"/>
              </w:numPr>
              <w:rPr>
                <w:lang w:val="en-GB"/>
              </w:rPr>
            </w:pPr>
            <w:r>
              <w:rPr>
                <w:lang w:val="en-GB"/>
              </w:rPr>
              <w:t>Multiple</w:t>
            </w:r>
            <w:r w:rsidRPr="00712928">
              <w:rPr>
                <w:lang w:val="en-GB"/>
              </w:rPr>
              <w:t xml:space="preserve"> PDSCH transmission occasion</w:t>
            </w:r>
            <w:r>
              <w:rPr>
                <w:lang w:val="en-GB"/>
              </w:rPr>
              <w:t>s</w:t>
            </w:r>
            <w:r w:rsidRPr="00712928">
              <w:rPr>
                <w:lang w:val="en-GB"/>
              </w:rPr>
              <w:t xml:space="preserve"> </w:t>
            </w:r>
            <w:r>
              <w:rPr>
                <w:lang w:val="en-GB"/>
              </w:rPr>
              <w:t>for one transport block scheduled with up to four redundancy versions.</w:t>
            </w:r>
          </w:p>
          <w:p w14:paraId="6C00A4FE" w14:textId="77777777" w:rsidR="00296E84" w:rsidRDefault="00296E84" w:rsidP="0013415D">
            <w:pPr>
              <w:pStyle w:val="TAL"/>
              <w:numPr>
                <w:ilvl w:val="0"/>
                <w:numId w:val="36"/>
              </w:numPr>
              <w:rPr>
                <w:lang w:val="en-GB"/>
              </w:rPr>
            </w:pPr>
            <w:r w:rsidRPr="00391483">
              <w:rPr>
                <w:lang w:val="en-GB"/>
              </w:rPr>
              <w:t>UE can combine</w:t>
            </w:r>
            <w:r>
              <w:rPr>
                <w:lang w:val="en-GB"/>
              </w:rPr>
              <w:t xml:space="preserve"> </w:t>
            </w:r>
            <w:r w:rsidRPr="00391483">
              <w:rPr>
                <w:lang w:val="en-GB"/>
              </w:rPr>
              <w:t xml:space="preserve">PDSCH symbols </w:t>
            </w:r>
            <w:r>
              <w:rPr>
                <w:lang w:val="en-GB"/>
              </w:rPr>
              <w:t>from multiple PDSCH transmission occasions.</w:t>
            </w:r>
          </w:p>
        </w:tc>
      </w:tr>
    </w:tbl>
    <w:p w14:paraId="3BD74521" w14:textId="77777777" w:rsidR="00296E84" w:rsidRPr="00296E84" w:rsidRDefault="00296E84" w:rsidP="00296E84"/>
    <w:p w14:paraId="67BF053F" w14:textId="3AE44358" w:rsidR="00D434F4" w:rsidRPr="0047271C" w:rsidRDefault="007D2233" w:rsidP="006869A4">
      <w:r w:rsidRPr="0047271C">
        <w:t>RAN4</w:t>
      </w:r>
      <w:r w:rsidR="00405249" w:rsidRPr="0047271C">
        <w:t>#9</w:t>
      </w:r>
      <w:r w:rsidR="009C56AB">
        <w:t>5</w:t>
      </w:r>
      <w:r w:rsidR="00405249" w:rsidRPr="0047271C">
        <w:t>-e</w:t>
      </w:r>
      <w:r w:rsidRPr="0047271C">
        <w:t xml:space="preserve"> </w:t>
      </w:r>
      <w:r w:rsidR="00CA7A3F">
        <w:t xml:space="preserve">discussed the </w:t>
      </w:r>
      <w:r w:rsidR="00F65962">
        <w:t xml:space="preserve">PDSCH demodulation requirements for multi-DCI based and single-DCI based PDSCH transmission with multi-TRP. </w:t>
      </w:r>
      <w:r w:rsidR="002B64AF">
        <w:t>For the SDM transmission schemes,</w:t>
      </w:r>
      <w:r w:rsidR="009C56AB">
        <w:t xml:space="preserve"> </w:t>
      </w:r>
      <w:r w:rsidR="002B64AF">
        <w:t xml:space="preserve">RAN4 agreed with </w:t>
      </w:r>
      <w:r w:rsidR="009C56AB">
        <w:t xml:space="preserve">the way forward </w:t>
      </w:r>
      <w:r w:rsidR="005C66BD" w:rsidRPr="0047271C">
        <w:fldChar w:fldCharType="begin"/>
      </w:r>
      <w:r w:rsidR="005C66BD" w:rsidRPr="0047271C">
        <w:instrText xml:space="preserve"> REF _Ref36834805 \r \h </w:instrText>
      </w:r>
      <w:r w:rsidR="005C66BD" w:rsidRPr="0047271C">
        <w:fldChar w:fldCharType="separate"/>
      </w:r>
      <w:r w:rsidR="00F818F2">
        <w:t>[1]</w:t>
      </w:r>
      <w:r w:rsidR="005C66BD" w:rsidRPr="0047271C">
        <w:fldChar w:fldCharType="end"/>
      </w:r>
      <w:r w:rsidR="002B64AF">
        <w:t xml:space="preserve"> and </w:t>
      </w:r>
      <w:r w:rsidR="009C56AB">
        <w:t xml:space="preserve">the simulation assumption </w:t>
      </w:r>
      <w:r w:rsidR="006D756E">
        <w:fldChar w:fldCharType="begin"/>
      </w:r>
      <w:r w:rsidR="006D756E">
        <w:instrText xml:space="preserve"> REF _Ref46334789 \r \h </w:instrText>
      </w:r>
      <w:r w:rsidR="006D756E">
        <w:fldChar w:fldCharType="separate"/>
      </w:r>
      <w:r w:rsidR="00F818F2">
        <w:t>[2]</w:t>
      </w:r>
      <w:r w:rsidR="006D756E">
        <w:fldChar w:fldCharType="end"/>
      </w:r>
      <w:r w:rsidR="002B64AF">
        <w:t xml:space="preserve"> to discuss the detailed simulation setup.</w:t>
      </w:r>
      <w:r w:rsidR="00F872A7">
        <w:t xml:space="preserve"> On the other hand, </w:t>
      </w:r>
      <w:r w:rsidR="00B150AA">
        <w:t xml:space="preserve">RAN4 </w:t>
      </w:r>
      <w:r w:rsidR="00EB5718">
        <w:t xml:space="preserve">is </w:t>
      </w:r>
      <w:r w:rsidR="00EB5718">
        <w:lastRenderedPageBreak/>
        <w:t>still discussing</w:t>
      </w:r>
      <w:r w:rsidR="00B150AA">
        <w:t xml:space="preserve"> whether to define FDM/TDM transmission schemes with multi-TRP </w:t>
      </w:r>
      <w:r w:rsidR="002F6B27">
        <w:fldChar w:fldCharType="begin"/>
      </w:r>
      <w:r w:rsidR="002F6B27">
        <w:instrText xml:space="preserve"> REF _Ref47426102 \r \h </w:instrText>
      </w:r>
      <w:r w:rsidR="002F6B27">
        <w:fldChar w:fldCharType="separate"/>
      </w:r>
      <w:r w:rsidR="00F818F2">
        <w:t>[3]</w:t>
      </w:r>
      <w:r w:rsidR="002F6B27">
        <w:fldChar w:fldCharType="end"/>
      </w:r>
      <w:r w:rsidR="002F6B27">
        <w:t xml:space="preserve">. </w:t>
      </w:r>
    </w:p>
    <w:p w14:paraId="63B30870" w14:textId="392F41BC" w:rsidR="006913F6" w:rsidRDefault="009B01F8" w:rsidP="006913F6">
      <w:pPr>
        <w:pStyle w:val="Heading1"/>
        <w:rPr>
          <w:lang w:val="en-US"/>
        </w:rPr>
      </w:pPr>
      <w:r w:rsidRPr="0047271C">
        <w:rPr>
          <w:lang w:val="en-US"/>
        </w:rPr>
        <w:t>2</w:t>
      </w:r>
      <w:r w:rsidRPr="0047271C">
        <w:rPr>
          <w:lang w:val="en-US"/>
        </w:rPr>
        <w:tab/>
      </w:r>
      <w:r w:rsidR="0054583B">
        <w:rPr>
          <w:lang w:val="en-US"/>
        </w:rPr>
        <w:t>SDM schemes</w:t>
      </w:r>
    </w:p>
    <w:p w14:paraId="5133697F" w14:textId="76C05749" w:rsidR="00C75BD9" w:rsidRPr="00927A08" w:rsidRDefault="00DA50A6" w:rsidP="00C75BD9">
      <w:pPr>
        <w:rPr>
          <w:u w:val="single"/>
        </w:rPr>
      </w:pPr>
      <w:r w:rsidRPr="00927A08">
        <w:rPr>
          <w:u w:val="single"/>
        </w:rPr>
        <w:t>General test setup</w:t>
      </w:r>
    </w:p>
    <w:tbl>
      <w:tblPr>
        <w:tblStyle w:val="TableGrid"/>
        <w:tblW w:w="0" w:type="auto"/>
        <w:tblLook w:val="04A0" w:firstRow="1" w:lastRow="0" w:firstColumn="1" w:lastColumn="0" w:noHBand="0" w:noVBand="1"/>
      </w:tblPr>
      <w:tblGrid>
        <w:gridCol w:w="9629"/>
      </w:tblGrid>
      <w:tr w:rsidR="0079405E" w14:paraId="4DA842D0" w14:textId="77777777" w:rsidTr="0079405E">
        <w:tc>
          <w:tcPr>
            <w:tcW w:w="9629" w:type="dxa"/>
          </w:tcPr>
          <w:p w14:paraId="7B2C0ECF" w14:textId="37248F01" w:rsidR="0079405E" w:rsidRDefault="00C75BD9" w:rsidP="0079405E">
            <w:pPr>
              <w:spacing w:after="0"/>
            </w:pPr>
            <w:r>
              <w:t>R</w:t>
            </w:r>
            <w:r w:rsidR="0079405E">
              <w:t>eference for timing offset/frequency offset​</w:t>
            </w:r>
          </w:p>
          <w:p w14:paraId="304695DB" w14:textId="6797AE0B" w:rsidR="0079405E" w:rsidRDefault="0079405E" w:rsidP="00C75BD9">
            <w:pPr>
              <w:pStyle w:val="ListParagraph"/>
              <w:numPr>
                <w:ilvl w:val="0"/>
                <w:numId w:val="27"/>
              </w:numPr>
              <w:spacing w:after="0"/>
            </w:pPr>
            <w:r>
              <w:t>Option 1: ​</w:t>
            </w:r>
          </w:p>
          <w:p w14:paraId="6FE8DD94" w14:textId="73DFB638" w:rsidR="0079405E" w:rsidRDefault="0079405E" w:rsidP="00C75BD9">
            <w:pPr>
              <w:pStyle w:val="ListParagraph"/>
              <w:numPr>
                <w:ilvl w:val="1"/>
                <w:numId w:val="27"/>
              </w:numPr>
              <w:spacing w:after="0"/>
            </w:pPr>
            <w:r>
              <w:t>Using TP which carry on SSB transmission with default TCI state #0 as the reference TP (TP1) ​</w:t>
            </w:r>
          </w:p>
          <w:p w14:paraId="59D14ED8" w14:textId="2555F34F" w:rsidR="0079405E" w:rsidRDefault="0079405E" w:rsidP="00C75BD9">
            <w:pPr>
              <w:pStyle w:val="ListParagraph"/>
              <w:numPr>
                <w:ilvl w:val="1"/>
                <w:numId w:val="27"/>
              </w:numPr>
              <w:spacing w:after="0"/>
            </w:pPr>
            <w:r>
              <w:t>Timing offset = time offset among TP2 and TP1​</w:t>
            </w:r>
          </w:p>
          <w:p w14:paraId="719F3D64" w14:textId="64B60D2E" w:rsidR="0079405E" w:rsidRDefault="0079405E" w:rsidP="00C75BD9">
            <w:pPr>
              <w:pStyle w:val="ListParagraph"/>
              <w:numPr>
                <w:ilvl w:val="1"/>
                <w:numId w:val="27"/>
              </w:numPr>
              <w:spacing w:after="0"/>
            </w:pPr>
            <w:r>
              <w:t>Frequency offset = frequency offset among TP2 and TP1​</w:t>
            </w:r>
          </w:p>
          <w:p w14:paraId="62709ED9" w14:textId="478732D1" w:rsidR="0079405E" w:rsidRDefault="0079405E" w:rsidP="00C75BD9">
            <w:pPr>
              <w:pStyle w:val="ListParagraph"/>
              <w:numPr>
                <w:ilvl w:val="0"/>
                <w:numId w:val="27"/>
              </w:numPr>
              <w:spacing w:after="0"/>
            </w:pPr>
            <w:r>
              <w:t>Other options not precluded​</w:t>
            </w:r>
          </w:p>
          <w:p w14:paraId="08F25D4A" w14:textId="76270782" w:rsidR="0079405E" w:rsidRDefault="0079405E" w:rsidP="0079405E">
            <w:pPr>
              <w:spacing w:after="0"/>
            </w:pPr>
            <w:r>
              <w:t>Baseline receiver assumption for FFT window timing​</w:t>
            </w:r>
          </w:p>
          <w:p w14:paraId="50957A47" w14:textId="0DEAA8EF" w:rsidR="0079405E" w:rsidRDefault="0079405E" w:rsidP="00C75BD9">
            <w:pPr>
              <w:pStyle w:val="ListParagraph"/>
              <w:numPr>
                <w:ilvl w:val="0"/>
                <w:numId w:val="28"/>
              </w:numPr>
              <w:spacing w:after="0"/>
            </w:pPr>
            <w:r>
              <w:t>Option 1: Assuming UE always fix FFT timing based on TCI state #0 (TP1) as baseline assumption to define RAN4 performance requirements​</w:t>
            </w:r>
          </w:p>
          <w:p w14:paraId="161A667C" w14:textId="6155D1CD" w:rsidR="0079405E" w:rsidRDefault="0079405E" w:rsidP="00C75BD9">
            <w:pPr>
              <w:pStyle w:val="ListParagraph"/>
              <w:numPr>
                <w:ilvl w:val="0"/>
                <w:numId w:val="28"/>
              </w:numPr>
              <w:spacing w:after="0"/>
            </w:pPr>
            <w:r>
              <w:t>Option 2: FFT timing based on TRP with the highest RSRP on sync signals + fixed timing shift​</w:t>
            </w:r>
          </w:p>
          <w:p w14:paraId="0B0E11AD" w14:textId="7F57C6FD" w:rsidR="0079405E" w:rsidRDefault="0079405E" w:rsidP="00C75BD9">
            <w:pPr>
              <w:pStyle w:val="ListParagraph"/>
              <w:numPr>
                <w:ilvl w:val="0"/>
                <w:numId w:val="28"/>
              </w:numPr>
              <w:spacing w:after="0"/>
            </w:pPr>
            <w:r>
              <w:t>Option 3: FFT timing based on nearest TRP​</w:t>
            </w:r>
          </w:p>
          <w:p w14:paraId="669199F7" w14:textId="77777777" w:rsidR="0079405E" w:rsidRDefault="0079405E" w:rsidP="00C75BD9">
            <w:pPr>
              <w:pStyle w:val="ListParagraph"/>
              <w:numPr>
                <w:ilvl w:val="0"/>
                <w:numId w:val="28"/>
              </w:numPr>
              <w:spacing w:after="0"/>
            </w:pPr>
            <w:r>
              <w:t>Other options not precluded​</w:t>
            </w:r>
          </w:p>
          <w:p w14:paraId="4D11CBC1" w14:textId="77777777" w:rsidR="00273B4E" w:rsidRDefault="00273B4E" w:rsidP="00273B4E">
            <w:pPr>
              <w:spacing w:after="0"/>
            </w:pPr>
            <w:r>
              <w:t>Timing offset among multi-panel/TRP</w:t>
            </w:r>
          </w:p>
          <w:p w14:paraId="0C71B184" w14:textId="77777777" w:rsidR="00273B4E" w:rsidRDefault="00273B4E" w:rsidP="00273B4E">
            <w:pPr>
              <w:pStyle w:val="ListParagraph"/>
              <w:numPr>
                <w:ilvl w:val="0"/>
                <w:numId w:val="29"/>
              </w:numPr>
              <w:spacing w:after="0"/>
            </w:pPr>
            <w:r>
              <w:t>Timing offset values</w:t>
            </w:r>
          </w:p>
          <w:p w14:paraId="20030E49" w14:textId="163E641B" w:rsidR="00273B4E" w:rsidRDefault="00273B4E" w:rsidP="00273B4E">
            <w:pPr>
              <w:pStyle w:val="ListParagraph"/>
              <w:numPr>
                <w:ilvl w:val="1"/>
                <w:numId w:val="29"/>
              </w:numPr>
              <w:spacing w:after="0"/>
            </w:pPr>
            <w:r>
              <w:t>Option 1: Δt=2</w:t>
            </w:r>
            <w:r w:rsidRPr="00273B4E">
              <w:rPr>
                <w:vertAlign w:val="superscript"/>
              </w:rPr>
              <w:t>-μ</w:t>
            </w:r>
            <w:r>
              <w:t>Δt</w:t>
            </w:r>
            <w:r w:rsidRPr="00273B4E">
              <w:rPr>
                <w:vertAlign w:val="subscript"/>
              </w:rPr>
              <w:t>1</w:t>
            </w:r>
            <w:r>
              <w:t>, Δt</w:t>
            </w:r>
            <w:r w:rsidRPr="00273B4E">
              <w:rPr>
                <w:vertAlign w:val="subscript"/>
              </w:rPr>
              <w:t>1</w:t>
            </w:r>
            <w:r w:rsidR="008214EE">
              <w:t xml:space="preserve"> = </w:t>
            </w:r>
            <w:r>
              <w:t>[-0.5, 2] μs</w:t>
            </w:r>
          </w:p>
          <w:p w14:paraId="373AD909" w14:textId="7C435C13" w:rsidR="00273B4E" w:rsidRDefault="00273B4E" w:rsidP="00273B4E">
            <w:pPr>
              <w:pStyle w:val="ListParagraph"/>
              <w:numPr>
                <w:ilvl w:val="1"/>
                <w:numId w:val="29"/>
              </w:numPr>
              <w:spacing w:after="0"/>
            </w:pPr>
            <w:r>
              <w:t>Option 2: Δt=2</w:t>
            </w:r>
            <w:r w:rsidRPr="00273B4E">
              <w:rPr>
                <w:vertAlign w:val="superscript"/>
              </w:rPr>
              <w:t>-μ</w:t>
            </w:r>
            <w:r>
              <w:t>Δt</w:t>
            </w:r>
            <w:r w:rsidRPr="00273B4E">
              <w:rPr>
                <w:vertAlign w:val="subscript"/>
              </w:rPr>
              <w:t>1</w:t>
            </w:r>
            <w:r>
              <w:t>, Δt</w:t>
            </w:r>
            <w:r w:rsidRPr="00273B4E">
              <w:rPr>
                <w:vertAlign w:val="subscript"/>
              </w:rPr>
              <w:t>1</w:t>
            </w:r>
            <w:r w:rsidR="00401659">
              <w:t xml:space="preserve"> </w:t>
            </w:r>
            <w:r>
              <w:t>=2 μs</w:t>
            </w:r>
          </w:p>
          <w:p w14:paraId="4D565D0E" w14:textId="77777777" w:rsidR="00273B4E" w:rsidRDefault="00273B4E" w:rsidP="00273B4E">
            <w:pPr>
              <w:pStyle w:val="ListParagraph"/>
              <w:numPr>
                <w:ilvl w:val="1"/>
                <w:numId w:val="29"/>
              </w:numPr>
              <w:spacing w:after="0"/>
            </w:pPr>
            <w:r>
              <w:t>Option 3: FFS on introducing timing offset which scaled with SCS Δt=2</w:t>
            </w:r>
            <w:r w:rsidRPr="00273B4E">
              <w:rPr>
                <w:vertAlign w:val="superscript"/>
              </w:rPr>
              <w:t>-μ</w:t>
            </w:r>
            <w:r>
              <w:t>Δt</w:t>
            </w:r>
            <w:r w:rsidRPr="00273B4E">
              <w:rPr>
                <w:vertAlign w:val="subscript"/>
              </w:rPr>
              <w:t>1</w:t>
            </w:r>
            <w:r>
              <w:t>, Candidate values for simulation purpose: {-1, -0.5, 1, 3] μs</w:t>
            </w:r>
          </w:p>
          <w:p w14:paraId="6C74F3DD" w14:textId="77777777" w:rsidR="00214DA9" w:rsidRDefault="00214DA9" w:rsidP="00214DA9">
            <w:pPr>
              <w:pStyle w:val="ListParagraph"/>
              <w:numPr>
                <w:ilvl w:val="0"/>
                <w:numId w:val="29"/>
              </w:numPr>
              <w:spacing w:after="0"/>
            </w:pPr>
            <w:r>
              <w:t>Values for requirements definition should be derived based on performance analysis and analysis on TO distributions. Final value should ensure that reasonable UE implementation can meet the requirements.</w:t>
            </w:r>
          </w:p>
          <w:p w14:paraId="59C039F2" w14:textId="77777777" w:rsidR="00214DA9" w:rsidRDefault="00214DA9" w:rsidP="00214DA9">
            <w:pPr>
              <w:spacing w:after="0"/>
            </w:pPr>
            <w:r>
              <w:t>Frequency offset among multi-panel/TRP</w:t>
            </w:r>
          </w:p>
          <w:p w14:paraId="5D9C3BA0" w14:textId="2091C015" w:rsidR="00214DA9" w:rsidRDefault="00214DA9" w:rsidP="004D10AA">
            <w:pPr>
              <w:pStyle w:val="ListParagraph"/>
              <w:numPr>
                <w:ilvl w:val="0"/>
                <w:numId w:val="30"/>
              </w:numPr>
              <w:spacing w:after="0"/>
            </w:pPr>
            <w:r>
              <w:t>200Hz for FR1 FDD 15kHz, 300Hz for FR1 TDD 30kHz</w:t>
            </w:r>
          </w:p>
        </w:tc>
      </w:tr>
    </w:tbl>
    <w:p w14:paraId="188E7827" w14:textId="3CF627B7" w:rsidR="0009442F" w:rsidRDefault="0009442F" w:rsidP="0009442F"/>
    <w:p w14:paraId="3F99B399" w14:textId="3EF43496" w:rsidR="005F6F53" w:rsidRDefault="005F6F53" w:rsidP="0009442F">
      <w:pPr>
        <w:rPr>
          <w:u w:val="single"/>
        </w:rPr>
      </w:pPr>
      <w:r w:rsidRPr="007B4657">
        <w:rPr>
          <w:u w:val="single"/>
        </w:rPr>
        <w:t xml:space="preserve">Impact </w:t>
      </w:r>
      <w:r w:rsidR="00B81EA5">
        <w:rPr>
          <w:u w:val="single"/>
        </w:rPr>
        <w:t>of f</w:t>
      </w:r>
      <w:r w:rsidRPr="007B4657">
        <w:rPr>
          <w:u w:val="single"/>
        </w:rPr>
        <w:t>requency offset</w:t>
      </w:r>
    </w:p>
    <w:p w14:paraId="67F8DB41" w14:textId="782D4F52" w:rsidR="00FE356D" w:rsidRDefault="00910812" w:rsidP="0009442F">
      <w:r>
        <w:fldChar w:fldCharType="begin"/>
      </w:r>
      <w:r>
        <w:instrText xml:space="preserve"> REF _Ref46419435 \h </w:instrText>
      </w:r>
      <w:r>
        <w:fldChar w:fldCharType="separate"/>
      </w:r>
      <w:r w:rsidR="00F818F2">
        <w:t xml:space="preserve">Figure </w:t>
      </w:r>
      <w:r w:rsidR="00F818F2">
        <w:rPr>
          <w:noProof/>
        </w:rPr>
        <w:t>1</w:t>
      </w:r>
      <w:r>
        <w:fldChar w:fldCharType="end"/>
      </w:r>
      <w:r>
        <w:t xml:space="preserve"> shows the performance impact </w:t>
      </w:r>
      <w:r w:rsidR="00B3124E">
        <w:t>due to</w:t>
      </w:r>
      <w:r>
        <w:t xml:space="preserve"> the frequency offset</w:t>
      </w:r>
      <w:r w:rsidR="009E1020">
        <w:t xml:space="preserve"> without any compensation</w:t>
      </w:r>
      <w:r>
        <w:t>. In the figure</w:t>
      </w:r>
      <w:r w:rsidR="0094202F">
        <w:t>s</w:t>
      </w:r>
      <w:r>
        <w:t>, mDCI FDM correspon</w:t>
      </w:r>
      <w:r w:rsidR="00565F13">
        <w:t>ds</w:t>
      </w:r>
      <w:r>
        <w:t xml:space="preserve"> to </w:t>
      </w:r>
      <w:r w:rsidR="00565F13">
        <w:t xml:space="preserve">the </w:t>
      </w:r>
      <w:r>
        <w:t>multi-DCI based SDM scheme with non-overlapped transmission</w:t>
      </w:r>
      <w:r w:rsidR="0073763E">
        <w:t xml:space="preserve"> in frequency domain</w:t>
      </w:r>
      <w:r w:rsidR="00565F13">
        <w:t>, and sDCI SDM corresponds to the single-DCI based SDM scheme with fully overlapped transmission</w:t>
      </w:r>
      <w:r w:rsidR="006C388B">
        <w:t xml:space="preserve"> in frequency/time domain</w:t>
      </w:r>
      <w:r w:rsidR="00565F13">
        <w:t xml:space="preserve">. </w:t>
      </w:r>
      <w:r w:rsidR="006939B4">
        <w:fldChar w:fldCharType="begin"/>
      </w:r>
      <w:r w:rsidR="006939B4">
        <w:instrText xml:space="preserve"> REF _Ref46419435 \h </w:instrText>
      </w:r>
      <w:r w:rsidR="006939B4">
        <w:fldChar w:fldCharType="separate"/>
      </w:r>
      <w:r w:rsidR="00F818F2">
        <w:t xml:space="preserve">Figure </w:t>
      </w:r>
      <w:r w:rsidR="00F818F2">
        <w:rPr>
          <w:noProof/>
        </w:rPr>
        <w:t>1</w:t>
      </w:r>
      <w:r w:rsidR="006939B4">
        <w:fldChar w:fldCharType="end"/>
      </w:r>
      <w:r w:rsidR="006939B4">
        <w:t xml:space="preserve"> </w:t>
      </w:r>
      <w:r w:rsidR="002E3FD2">
        <w:t xml:space="preserve">also </w:t>
      </w:r>
      <w:r w:rsidR="006939B4">
        <w:t>shows the single TRP case</w:t>
      </w:r>
      <w:r w:rsidR="002E3FD2">
        <w:t xml:space="preserve"> (</w:t>
      </w:r>
      <w:r w:rsidR="00AB5C91">
        <w:t>s</w:t>
      </w:r>
      <w:r w:rsidR="002E3FD2">
        <w:t xml:space="preserve">ame as Rel-15 NR MIMO condition) for reference. </w:t>
      </w:r>
    </w:p>
    <w:p w14:paraId="011C31A5" w14:textId="1BA06C45" w:rsidR="00277B0D" w:rsidRDefault="009E1020" w:rsidP="0009442F">
      <w:r>
        <w:t xml:space="preserve">From the simulation results, </w:t>
      </w:r>
      <w:r w:rsidR="00FE356D">
        <w:t>i</w:t>
      </w:r>
      <w:r>
        <w:t xml:space="preserve">t </w:t>
      </w:r>
      <w:r w:rsidR="00FE356D">
        <w:t xml:space="preserve">is not </w:t>
      </w:r>
      <w:r>
        <w:t>observe</w:t>
      </w:r>
      <w:r w:rsidR="00FE356D">
        <w:t>d</w:t>
      </w:r>
      <w:r>
        <w:t xml:space="preserve"> any performance degradation with frequency offset of 200Hz (for SCS=15kHz) and 300Hz (for SCS=30kHz) between two TRPs.</w:t>
      </w:r>
    </w:p>
    <w:p w14:paraId="746655AD" w14:textId="7BB79EC4" w:rsidR="00483363" w:rsidRPr="00483363" w:rsidRDefault="00483363" w:rsidP="0009442F">
      <w:pPr>
        <w:rPr>
          <w:b/>
          <w:bCs/>
        </w:rPr>
      </w:pPr>
      <w:r w:rsidRPr="00483363">
        <w:rPr>
          <w:b/>
          <w:bCs/>
        </w:rPr>
        <w:t>Observation</w:t>
      </w:r>
      <w:r w:rsidR="0020535B">
        <w:rPr>
          <w:b/>
          <w:bCs/>
        </w:rPr>
        <w:t xml:space="preserve"> 1</w:t>
      </w:r>
      <w:r w:rsidRPr="00483363">
        <w:rPr>
          <w:b/>
          <w:bCs/>
        </w:rPr>
        <w:t xml:space="preserve">: No performance </w:t>
      </w:r>
      <w:r w:rsidR="0040177B">
        <w:rPr>
          <w:b/>
          <w:bCs/>
        </w:rPr>
        <w:t>degradation</w:t>
      </w:r>
      <w:r w:rsidRPr="00483363">
        <w:rPr>
          <w:b/>
          <w:bCs/>
        </w:rPr>
        <w:t xml:space="preserve"> for both mDCI-based FDM (SDM with non-overlapped) and sDCI-based SDM </w:t>
      </w:r>
      <w:r w:rsidR="00B6438E">
        <w:rPr>
          <w:b/>
          <w:bCs/>
        </w:rPr>
        <w:t>due to</w:t>
      </w:r>
      <w:r w:rsidRPr="00483363">
        <w:rPr>
          <w:b/>
          <w:bCs/>
        </w:rPr>
        <w:t xml:space="preserve"> the frequency offset. </w:t>
      </w:r>
    </w:p>
    <w:p w14:paraId="7271DEDB" w14:textId="4387A163" w:rsidR="005F6F53" w:rsidRDefault="00DB2A6F" w:rsidP="0009442F">
      <w:r w:rsidRPr="00DB2A6F">
        <w:rPr>
          <w:noProof/>
        </w:rPr>
        <w:lastRenderedPageBreak/>
        <w:drawing>
          <wp:inline distT="0" distB="0" distL="0" distR="0" wp14:anchorId="01A3DE46" wp14:editId="4B76F786">
            <wp:extent cx="3024000" cy="226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r w:rsidR="00DD2E7C" w:rsidRPr="00DD2E7C">
        <w:t xml:space="preserve"> </w:t>
      </w:r>
      <w:r w:rsidR="00DD2E7C" w:rsidRPr="00DD2E7C">
        <w:rPr>
          <w:noProof/>
        </w:rPr>
        <w:drawing>
          <wp:inline distT="0" distB="0" distL="0" distR="0" wp14:anchorId="2B2FC8F6" wp14:editId="45472F20">
            <wp:extent cx="3024000" cy="2268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AB223C" w14:paraId="28F2BBAD" w14:textId="77777777" w:rsidTr="00AB223C">
        <w:tc>
          <w:tcPr>
            <w:tcW w:w="4814" w:type="dxa"/>
          </w:tcPr>
          <w:p w14:paraId="17CA105B" w14:textId="5C601C68" w:rsidR="00AB223C" w:rsidRDefault="00721DC5" w:rsidP="00AB223C">
            <w:pPr>
              <w:pStyle w:val="TAC"/>
            </w:pPr>
            <w:r>
              <w:t xml:space="preserve">(a) </w:t>
            </w:r>
            <w:r w:rsidR="00AB223C">
              <w:t>FDD SCS=15kHz</w:t>
            </w:r>
          </w:p>
        </w:tc>
        <w:tc>
          <w:tcPr>
            <w:tcW w:w="4815" w:type="dxa"/>
          </w:tcPr>
          <w:p w14:paraId="3DE22D5A" w14:textId="387CA74B" w:rsidR="00AB223C" w:rsidRDefault="00721DC5" w:rsidP="00AB223C">
            <w:pPr>
              <w:pStyle w:val="TAC"/>
            </w:pPr>
            <w:r>
              <w:t xml:space="preserve">(b) </w:t>
            </w:r>
            <w:r w:rsidR="00AB223C">
              <w:t>TDD SCS=30kHz</w:t>
            </w:r>
          </w:p>
        </w:tc>
      </w:tr>
    </w:tbl>
    <w:p w14:paraId="5FCEAD5C" w14:textId="38F55A69" w:rsidR="00B84588" w:rsidRDefault="00B84588" w:rsidP="00B84588">
      <w:pPr>
        <w:pStyle w:val="Caption"/>
      </w:pPr>
      <w:bookmarkStart w:id="4" w:name="_Ref46419435"/>
      <w:r>
        <w:t xml:space="preserve">Figure </w:t>
      </w:r>
      <w:fldSimple w:instr=" SEQ Figure \* ARABIC ">
        <w:r w:rsidR="00F818F2">
          <w:rPr>
            <w:noProof/>
          </w:rPr>
          <w:t>1</w:t>
        </w:r>
      </w:fldSimple>
      <w:bookmarkEnd w:id="4"/>
      <w:r>
        <w:tab/>
        <w:t>impact d</w:t>
      </w:r>
      <w:r w:rsidR="002A5D23">
        <w:t>u</w:t>
      </w:r>
      <w:r>
        <w:t>e to frequency offset</w:t>
      </w:r>
      <w:r w:rsidR="006939B4">
        <w:t>.</w:t>
      </w:r>
    </w:p>
    <w:p w14:paraId="19B9F4B7" w14:textId="77777777" w:rsidR="00EC14A8" w:rsidRDefault="00EC14A8" w:rsidP="0009442F"/>
    <w:p w14:paraId="55089242" w14:textId="433EF44E" w:rsidR="005F6F53" w:rsidRPr="00EC14A8" w:rsidRDefault="005F6F53" w:rsidP="0009442F">
      <w:pPr>
        <w:rPr>
          <w:u w:val="single"/>
        </w:rPr>
      </w:pPr>
      <w:r w:rsidRPr="00EC14A8">
        <w:rPr>
          <w:u w:val="single"/>
        </w:rPr>
        <w:t xml:space="preserve">Impact </w:t>
      </w:r>
      <w:r w:rsidR="00B81EA5">
        <w:rPr>
          <w:u w:val="single"/>
        </w:rPr>
        <w:t>of</w:t>
      </w:r>
      <w:r w:rsidRPr="00EC14A8">
        <w:rPr>
          <w:u w:val="single"/>
        </w:rPr>
        <w:t xml:space="preserve"> the time offset</w:t>
      </w:r>
    </w:p>
    <w:p w14:paraId="3379DFA2" w14:textId="72165768" w:rsidR="007165B1" w:rsidRDefault="007165B1" w:rsidP="007165B1">
      <w:r>
        <w:fldChar w:fldCharType="begin"/>
      </w:r>
      <w:r>
        <w:instrText xml:space="preserve"> REF _Ref46420170 \h </w:instrText>
      </w:r>
      <w:r>
        <w:fldChar w:fldCharType="separate"/>
      </w:r>
      <w:r w:rsidR="00F818F2">
        <w:t xml:space="preserve">Figure </w:t>
      </w:r>
      <w:r w:rsidR="00F818F2">
        <w:rPr>
          <w:noProof/>
        </w:rPr>
        <w:t>2</w:t>
      </w:r>
      <w:r>
        <w:fldChar w:fldCharType="end"/>
      </w:r>
      <w:r>
        <w:t xml:space="preserve"> </w:t>
      </w:r>
      <w:r w:rsidR="008B7FD0">
        <w:t>shows the performance impact due to the time offset without any compensation</w:t>
      </w:r>
      <w:r>
        <w:t xml:space="preserve">. </w:t>
      </w:r>
      <w:r w:rsidR="00CC40C0">
        <w:t>In the simulation</w:t>
      </w:r>
      <w:r w:rsidR="00BD3509">
        <w:t>,</w:t>
      </w:r>
      <w:r w:rsidR="00CC40C0">
        <w:t xml:space="preserve"> </w:t>
      </w:r>
      <w:r w:rsidR="00BD3509">
        <w:t xml:space="preserve">UE always </w:t>
      </w:r>
      <w:r w:rsidR="00A2078F">
        <w:t>sets</w:t>
      </w:r>
      <w:r w:rsidR="0037521A">
        <w:t xml:space="preserve"> the</w:t>
      </w:r>
      <w:r w:rsidR="00BD3509">
        <w:t xml:space="preserve"> FFT timing based on TCI state #0 (TP1)</w:t>
      </w:r>
      <w:r w:rsidR="003C22AF">
        <w:t xml:space="preserve">. </w:t>
      </w:r>
      <w:r>
        <w:t xml:space="preserve">From the simulation results, it is observed the significant performance degradation with </w:t>
      </w:r>
      <w:r w:rsidR="00483363">
        <w:t xml:space="preserve">larger negative </w:t>
      </w:r>
      <w:r>
        <w:t>time offset</w:t>
      </w:r>
      <w:r w:rsidR="00483363">
        <w:t xml:space="preserve">, </w:t>
      </w:r>
      <w:r w:rsidR="00B92189">
        <w:t xml:space="preserve">i.e., </w:t>
      </w:r>
      <w:r w:rsidR="00483363">
        <w:t>TO=</w:t>
      </w:r>
      <w:r>
        <w:t>-1us</w:t>
      </w:r>
      <w:r w:rsidR="00483363">
        <w:t xml:space="preserve"> for FDD </w:t>
      </w:r>
      <w:r w:rsidR="000D70C0">
        <w:t xml:space="preserve">(SCS=15kHz) </w:t>
      </w:r>
      <w:r w:rsidR="00483363">
        <w:t>and TO=-0.5us for TDD</w:t>
      </w:r>
      <w:r w:rsidR="000D70C0">
        <w:t xml:space="preserve"> (SCS=30kHz)</w:t>
      </w:r>
      <w:r w:rsidR="00483363">
        <w:t xml:space="preserve">. </w:t>
      </w:r>
      <w:r w:rsidR="006F7BA3">
        <w:t xml:space="preserve">On the other hand, positive time </w:t>
      </w:r>
      <w:r w:rsidR="00085EA8">
        <w:t>offset,</w:t>
      </w:r>
      <w:r w:rsidR="006F7BA3">
        <w:t xml:space="preserve"> or smaller negative offset d</w:t>
      </w:r>
      <w:r w:rsidR="00085EA8">
        <w:t>o</w:t>
      </w:r>
      <w:r w:rsidR="006F7BA3">
        <w:t xml:space="preserve"> not affect to the performance significantly. </w:t>
      </w:r>
    </w:p>
    <w:p w14:paraId="175AADB6" w14:textId="32F55111" w:rsidR="00584AE7" w:rsidRPr="00D3349E" w:rsidRDefault="00584AE7" w:rsidP="007165B1">
      <w:pPr>
        <w:rPr>
          <w:b/>
          <w:bCs/>
        </w:rPr>
      </w:pPr>
      <w:r w:rsidRPr="004F7333">
        <w:rPr>
          <w:b/>
          <w:bCs/>
        </w:rPr>
        <w:t>Observation</w:t>
      </w:r>
      <w:r w:rsidR="004152BF">
        <w:rPr>
          <w:b/>
          <w:bCs/>
        </w:rPr>
        <w:t xml:space="preserve"> </w:t>
      </w:r>
      <w:r w:rsidR="004E7DB6">
        <w:rPr>
          <w:b/>
          <w:bCs/>
        </w:rPr>
        <w:t>2</w:t>
      </w:r>
      <w:r w:rsidRPr="004F7333">
        <w:rPr>
          <w:b/>
          <w:bCs/>
        </w:rPr>
        <w:t xml:space="preserve">: </w:t>
      </w:r>
      <w:r w:rsidR="00E45805" w:rsidRPr="004F7333">
        <w:rPr>
          <w:b/>
          <w:bCs/>
        </w:rPr>
        <w:t>Significant performance impact for both mDCI-based FDM (SDM with non-overlapped) and sDCI-based SDM due to the large</w:t>
      </w:r>
      <w:r w:rsidR="00085EA8">
        <w:rPr>
          <w:b/>
          <w:bCs/>
        </w:rPr>
        <w:t>r</w:t>
      </w:r>
      <w:r w:rsidR="00E45805" w:rsidRPr="004F7333">
        <w:rPr>
          <w:b/>
          <w:bCs/>
        </w:rPr>
        <w:t xml:space="preserve"> negative time offset. </w:t>
      </w:r>
    </w:p>
    <w:p w14:paraId="4D5D9ABF" w14:textId="77777777" w:rsidR="00EC14A8" w:rsidRDefault="00EC14A8" w:rsidP="0009442F"/>
    <w:p w14:paraId="3C75172A" w14:textId="0DEDBD5E" w:rsidR="005F6F53" w:rsidRDefault="00572F09" w:rsidP="0009442F">
      <w:r w:rsidRPr="00572F09">
        <w:rPr>
          <w:noProof/>
        </w:rPr>
        <w:drawing>
          <wp:inline distT="0" distB="0" distL="0" distR="0" wp14:anchorId="0CEF5596" wp14:editId="64E2C647">
            <wp:extent cx="3032760" cy="22734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2124" cy="2280505"/>
                    </a:xfrm>
                    <a:prstGeom prst="rect">
                      <a:avLst/>
                    </a:prstGeom>
                    <a:noFill/>
                    <a:ln>
                      <a:noFill/>
                    </a:ln>
                  </pic:spPr>
                </pic:pic>
              </a:graphicData>
            </a:graphic>
          </wp:inline>
        </w:drawing>
      </w:r>
      <w:r w:rsidR="006D43ED" w:rsidRPr="006D43ED">
        <w:rPr>
          <w:noProof/>
        </w:rPr>
        <w:drawing>
          <wp:inline distT="0" distB="0" distL="0" distR="0" wp14:anchorId="024C5DC7" wp14:editId="6ADD6BA1">
            <wp:extent cx="3006000" cy="225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06000" cy="2253600"/>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C14A8" w14:paraId="5352C21A" w14:textId="77777777" w:rsidTr="00EC14A8">
        <w:tc>
          <w:tcPr>
            <w:tcW w:w="4814" w:type="dxa"/>
          </w:tcPr>
          <w:p w14:paraId="749B2EE0" w14:textId="6DD76307" w:rsidR="00EC14A8" w:rsidRDefault="00EC14A8" w:rsidP="00EC14A8">
            <w:pPr>
              <w:pStyle w:val="TAC"/>
            </w:pPr>
            <w:r>
              <w:t>(a) Multi-DCI based SDM, SCS=15kHz</w:t>
            </w:r>
          </w:p>
        </w:tc>
        <w:tc>
          <w:tcPr>
            <w:tcW w:w="4815" w:type="dxa"/>
          </w:tcPr>
          <w:p w14:paraId="006239DF" w14:textId="71ACE176" w:rsidR="00EC14A8" w:rsidRDefault="00EC14A8" w:rsidP="00EC14A8">
            <w:pPr>
              <w:pStyle w:val="TAC"/>
            </w:pPr>
            <w:r>
              <w:t>(b) Single-DCI based SDM, SCS=15kHz</w:t>
            </w:r>
          </w:p>
        </w:tc>
      </w:tr>
    </w:tbl>
    <w:p w14:paraId="74866B0E" w14:textId="7AF924DD" w:rsidR="00EC14A8" w:rsidRDefault="002A5D23" w:rsidP="002A5D23">
      <w:pPr>
        <w:pStyle w:val="Caption"/>
      </w:pPr>
      <w:bookmarkStart w:id="5" w:name="_Ref46420170"/>
      <w:r>
        <w:t xml:space="preserve">Figure </w:t>
      </w:r>
      <w:fldSimple w:instr=" SEQ Figure \* ARABIC ">
        <w:r w:rsidR="00F818F2">
          <w:rPr>
            <w:noProof/>
          </w:rPr>
          <w:t>2</w:t>
        </w:r>
      </w:fldSimple>
      <w:bookmarkEnd w:id="5"/>
      <w:r>
        <w:tab/>
        <w:t xml:space="preserve">Performance impact due to Time offset </w:t>
      </w:r>
      <w:r w:rsidR="00DD2E7C">
        <w:t xml:space="preserve">between two TRPs </w:t>
      </w:r>
      <w:r>
        <w:t>(SCS=15kHz)</w:t>
      </w:r>
      <w:r w:rsidR="00DD2E7C">
        <w:t>.</w:t>
      </w:r>
    </w:p>
    <w:p w14:paraId="53A0268C" w14:textId="767673BB" w:rsidR="00DE19BB" w:rsidRDefault="007F24D5" w:rsidP="0009442F">
      <w:r w:rsidRPr="007F24D5">
        <w:rPr>
          <w:noProof/>
        </w:rPr>
        <w:lastRenderedPageBreak/>
        <w:drawing>
          <wp:inline distT="0" distB="0" distL="0" distR="0" wp14:anchorId="22FD20A9" wp14:editId="3942CA84">
            <wp:extent cx="3024000" cy="2268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r w:rsidRPr="007F24D5">
        <w:rPr>
          <w:noProof/>
        </w:rPr>
        <w:drawing>
          <wp:inline distT="0" distB="0" distL="0" distR="0" wp14:anchorId="1FF37A60" wp14:editId="525FEDEA">
            <wp:extent cx="3024000" cy="226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D2E7C" w14:paraId="7887B3D5" w14:textId="77777777" w:rsidTr="00644955">
        <w:tc>
          <w:tcPr>
            <w:tcW w:w="4814" w:type="dxa"/>
          </w:tcPr>
          <w:p w14:paraId="74BFFF99" w14:textId="60FA9EFD" w:rsidR="00DD2E7C" w:rsidRDefault="00DD2E7C" w:rsidP="00644955">
            <w:pPr>
              <w:pStyle w:val="TAC"/>
            </w:pPr>
            <w:r>
              <w:t>(a) Multi-DCI based SDM, SCS=30kHz</w:t>
            </w:r>
          </w:p>
        </w:tc>
        <w:tc>
          <w:tcPr>
            <w:tcW w:w="4815" w:type="dxa"/>
          </w:tcPr>
          <w:p w14:paraId="04BD9848" w14:textId="0DCF2CEE" w:rsidR="00DD2E7C" w:rsidRDefault="00DD2E7C" w:rsidP="00644955">
            <w:pPr>
              <w:pStyle w:val="TAC"/>
            </w:pPr>
            <w:r>
              <w:t>(b) Single-DCI based SDM, SCS=30kHz</w:t>
            </w:r>
          </w:p>
        </w:tc>
      </w:tr>
    </w:tbl>
    <w:p w14:paraId="1503A33B" w14:textId="1E3B3E60" w:rsidR="00DD2E7C" w:rsidRDefault="00DD2E7C" w:rsidP="00DD2E7C">
      <w:pPr>
        <w:pStyle w:val="Caption"/>
      </w:pPr>
      <w:r>
        <w:t xml:space="preserve">Figure </w:t>
      </w:r>
      <w:fldSimple w:instr=" SEQ Figure \* ARABIC ">
        <w:r w:rsidR="00F818F2">
          <w:rPr>
            <w:noProof/>
          </w:rPr>
          <w:t>3</w:t>
        </w:r>
      </w:fldSimple>
      <w:r>
        <w:tab/>
        <w:t xml:space="preserve">Performance impact due to Time offset between two TRPs (SCS=30kHz). </w:t>
      </w:r>
    </w:p>
    <w:p w14:paraId="75B7C1CD" w14:textId="39FA3C79" w:rsidR="00E41593" w:rsidRDefault="00E41593" w:rsidP="00E41593"/>
    <w:p w14:paraId="7EE8B4BD" w14:textId="4A90DB50" w:rsidR="00004BBF" w:rsidRDefault="00004BBF" w:rsidP="00004BBF">
      <w:r>
        <w:t xml:space="preserve">From our simulation results, we don’t see any issue if we </w:t>
      </w:r>
      <w:r w:rsidR="00F51DEE">
        <w:t>define</w:t>
      </w:r>
      <w:r>
        <w:t xml:space="preserve"> </w:t>
      </w:r>
      <w:r w:rsidR="00022307">
        <w:t>the</w:t>
      </w:r>
      <w:r>
        <w:t xml:space="preserve"> </w:t>
      </w:r>
      <w:r w:rsidR="00580C4F">
        <w:t>‘</w:t>
      </w:r>
      <w:r>
        <w:t>tim</w:t>
      </w:r>
      <w:r w:rsidR="00580C4F">
        <w:t>e</w:t>
      </w:r>
      <w:r>
        <w:t xml:space="preserve"> offset</w:t>
      </w:r>
      <w:r w:rsidR="00580C4F">
        <w:t>’</w:t>
      </w:r>
      <w:r>
        <w:t xml:space="preserve"> as the </w:t>
      </w:r>
      <w:r w:rsidR="00580C4F">
        <w:t xml:space="preserve">transmission </w:t>
      </w:r>
      <w:r>
        <w:t>tim</w:t>
      </w:r>
      <w:r w:rsidR="00580C4F">
        <w:t xml:space="preserve">e </w:t>
      </w:r>
      <w:r>
        <w:t>offset of T</w:t>
      </w:r>
      <w:r w:rsidR="00E043F1">
        <w:t>R</w:t>
      </w:r>
      <w:r>
        <w:t>P2 from T</w:t>
      </w:r>
      <w:r w:rsidR="00E043F1">
        <w:t>R</w:t>
      </w:r>
      <w:r>
        <w:t xml:space="preserve">P1, and </w:t>
      </w:r>
      <w:r w:rsidR="00580C4F">
        <w:t>‘</w:t>
      </w:r>
      <w:r>
        <w:t>frequency offset</w:t>
      </w:r>
      <w:r w:rsidR="00580C4F">
        <w:t>’</w:t>
      </w:r>
      <w:r>
        <w:t xml:space="preserve"> as the </w:t>
      </w:r>
      <w:r w:rsidR="004F0457">
        <w:t xml:space="preserve">carrier </w:t>
      </w:r>
      <w:r>
        <w:t xml:space="preserve">frequency </w:t>
      </w:r>
      <w:r w:rsidR="004F0457">
        <w:t>offset</w:t>
      </w:r>
      <w:r>
        <w:t xml:space="preserve"> of T</w:t>
      </w:r>
      <w:r w:rsidR="00E043F1">
        <w:t>R</w:t>
      </w:r>
      <w:r>
        <w:t>P2 from T</w:t>
      </w:r>
      <w:r w:rsidR="00B03891">
        <w:t>R</w:t>
      </w:r>
      <w:r>
        <w:t>P1, where T</w:t>
      </w:r>
      <w:r w:rsidR="00E043F1">
        <w:t>R</w:t>
      </w:r>
      <w:r>
        <w:t>P1 corresponds to the T</w:t>
      </w:r>
      <w:r w:rsidR="00E043F1">
        <w:t>R</w:t>
      </w:r>
      <w:r>
        <w:t>P transmitting SSB for TCI state #0. ​</w:t>
      </w:r>
    </w:p>
    <w:p w14:paraId="45E7B072" w14:textId="4FA5B639" w:rsidR="00A619EE" w:rsidRDefault="00A619EE" w:rsidP="00E41593">
      <w:r>
        <w:t>Regarding the baseline receiver, we think it is up to UE implementation</w:t>
      </w:r>
      <w:r w:rsidR="00644018">
        <w:t xml:space="preserve"> and RAN4 should not mandate any </w:t>
      </w:r>
      <w:r w:rsidR="006104B5">
        <w:t xml:space="preserve">specific receiver for multi-TRP requirements. On the other hand, for the alignment purpose, </w:t>
      </w:r>
      <w:r>
        <w:t xml:space="preserve">we prefer the simplest assumption considering the minimum requirements, that is, UE always </w:t>
      </w:r>
      <w:r w:rsidR="002E0B6C">
        <w:t>sets</w:t>
      </w:r>
      <w:r>
        <w:t xml:space="preserve"> </w:t>
      </w:r>
      <w:r w:rsidR="002B7BC0">
        <w:t xml:space="preserve">the </w:t>
      </w:r>
      <w:r>
        <w:t>FFT timing based on TCI state #0 (TRP1).</w:t>
      </w:r>
    </w:p>
    <w:p w14:paraId="28785E5E" w14:textId="1FD45E0D" w:rsidR="00A619EE" w:rsidRPr="00A619EE" w:rsidRDefault="00A619EE" w:rsidP="00E41593">
      <w:pPr>
        <w:rPr>
          <w:b/>
          <w:bCs/>
        </w:rPr>
      </w:pPr>
      <w:r w:rsidRPr="00A619EE">
        <w:rPr>
          <w:b/>
          <w:bCs/>
        </w:rPr>
        <w:t>Proposal</w:t>
      </w:r>
      <w:r w:rsidR="00BE4628">
        <w:rPr>
          <w:b/>
          <w:bCs/>
        </w:rPr>
        <w:t xml:space="preserve"> 1</w:t>
      </w:r>
      <w:r w:rsidRPr="00A619EE">
        <w:rPr>
          <w:b/>
          <w:bCs/>
        </w:rPr>
        <w:t xml:space="preserve">: </w:t>
      </w:r>
      <w:r w:rsidR="00BE4628">
        <w:rPr>
          <w:b/>
          <w:bCs/>
        </w:rPr>
        <w:t>UE r</w:t>
      </w:r>
      <w:r w:rsidRPr="00A619EE">
        <w:rPr>
          <w:b/>
          <w:bCs/>
        </w:rPr>
        <w:t xml:space="preserve">eceiver </w:t>
      </w:r>
      <w:r w:rsidR="004F6938">
        <w:rPr>
          <w:b/>
          <w:bCs/>
        </w:rPr>
        <w:t>for mul</w:t>
      </w:r>
      <w:r w:rsidR="007B2F90">
        <w:rPr>
          <w:b/>
          <w:bCs/>
        </w:rPr>
        <w:t>t</w:t>
      </w:r>
      <w:r w:rsidR="004F6938">
        <w:rPr>
          <w:b/>
          <w:bCs/>
        </w:rPr>
        <w:t>i-TRP PDSCH demodulation require</w:t>
      </w:r>
      <w:r w:rsidR="00B64B97">
        <w:rPr>
          <w:b/>
          <w:bCs/>
        </w:rPr>
        <w:t xml:space="preserve">ments </w:t>
      </w:r>
      <w:r w:rsidRPr="00A619EE">
        <w:rPr>
          <w:b/>
          <w:bCs/>
        </w:rPr>
        <w:t>is up to UE implementation</w:t>
      </w:r>
      <w:r w:rsidR="00A95787">
        <w:rPr>
          <w:b/>
          <w:bCs/>
        </w:rPr>
        <w:t>.</w:t>
      </w:r>
      <w:r w:rsidRPr="00A619EE">
        <w:rPr>
          <w:b/>
          <w:bCs/>
        </w:rPr>
        <w:t xml:space="preserve"> </w:t>
      </w:r>
      <w:r w:rsidR="00A95787">
        <w:rPr>
          <w:b/>
          <w:bCs/>
        </w:rPr>
        <w:t xml:space="preserve">For alignment purpose, </w:t>
      </w:r>
      <w:r w:rsidRPr="00A619EE">
        <w:rPr>
          <w:b/>
          <w:bCs/>
        </w:rPr>
        <w:t xml:space="preserve">RAN4 </w:t>
      </w:r>
      <w:r w:rsidR="00A95787">
        <w:rPr>
          <w:b/>
          <w:bCs/>
        </w:rPr>
        <w:t>should</w:t>
      </w:r>
      <w:r w:rsidRPr="00A619EE">
        <w:rPr>
          <w:b/>
          <w:bCs/>
        </w:rPr>
        <w:t xml:space="preserve"> assume </w:t>
      </w:r>
      <w:r w:rsidR="00A95787">
        <w:rPr>
          <w:b/>
          <w:bCs/>
        </w:rPr>
        <w:t xml:space="preserve">that </w:t>
      </w:r>
      <w:r w:rsidRPr="00A619EE">
        <w:rPr>
          <w:b/>
          <w:bCs/>
        </w:rPr>
        <w:t xml:space="preserve">UE always </w:t>
      </w:r>
      <w:r w:rsidR="00A95787">
        <w:rPr>
          <w:b/>
          <w:bCs/>
        </w:rPr>
        <w:t>sets the</w:t>
      </w:r>
      <w:r w:rsidRPr="00A619EE">
        <w:rPr>
          <w:b/>
          <w:bCs/>
        </w:rPr>
        <w:t xml:space="preserve"> FFT timing based on TCI state #0 (TRP1)</w:t>
      </w:r>
      <w:r w:rsidR="00A95787">
        <w:rPr>
          <w:b/>
          <w:bCs/>
        </w:rPr>
        <w:t xml:space="preserve">. </w:t>
      </w:r>
    </w:p>
    <w:p w14:paraId="00401BC5" w14:textId="7DFF5B3D" w:rsidR="00A619EE" w:rsidRDefault="00A619EE" w:rsidP="00E41593">
      <w:r>
        <w:t>​</w:t>
      </w:r>
      <w:r w:rsidR="004B0E52">
        <w:t>Regarding the timing offset in the test case, based on our simulation results</w:t>
      </w:r>
      <w:r w:rsidR="00BE2518">
        <w:t xml:space="preserve"> and observations,</w:t>
      </w:r>
      <w:r w:rsidR="004B0E52">
        <w:t xml:space="preserve"> we propose to consider</w:t>
      </w:r>
      <w:r w:rsidR="00853D5A" w:rsidRPr="00853D5A">
        <w:t xml:space="preserve"> Δt=2</w:t>
      </w:r>
      <w:r w:rsidR="00853D5A" w:rsidRPr="00853D5A">
        <w:rPr>
          <w:vertAlign w:val="superscript"/>
        </w:rPr>
        <w:t>-μ</w:t>
      </w:r>
      <w:r w:rsidR="00853D5A" w:rsidRPr="00853D5A">
        <w:t>Δt</w:t>
      </w:r>
      <w:r w:rsidR="00853D5A" w:rsidRPr="00853D5A">
        <w:rPr>
          <w:vertAlign w:val="subscript"/>
        </w:rPr>
        <w:t>1</w:t>
      </w:r>
      <w:r w:rsidR="00853D5A" w:rsidRPr="00853D5A">
        <w:t>, Δt</w:t>
      </w:r>
      <w:r w:rsidR="00853D5A" w:rsidRPr="00853D5A">
        <w:rPr>
          <w:vertAlign w:val="subscript"/>
        </w:rPr>
        <w:t>1</w:t>
      </w:r>
      <w:r w:rsidR="00853D5A" w:rsidRPr="00853D5A">
        <w:t xml:space="preserve"> = [-0.5, 2] μs</w:t>
      </w:r>
      <w:r w:rsidR="00853D5A">
        <w:t>.</w:t>
      </w:r>
    </w:p>
    <w:p w14:paraId="0736B080" w14:textId="1FE7E11C" w:rsidR="00A619EE" w:rsidRPr="00853D5A" w:rsidRDefault="00853D5A" w:rsidP="00E41593">
      <w:pPr>
        <w:rPr>
          <w:b/>
          <w:bCs/>
        </w:rPr>
      </w:pPr>
      <w:r w:rsidRPr="00853D5A">
        <w:rPr>
          <w:b/>
          <w:bCs/>
        </w:rPr>
        <w:t>Proposal</w:t>
      </w:r>
      <w:r w:rsidR="00F64D62">
        <w:rPr>
          <w:b/>
          <w:bCs/>
        </w:rPr>
        <w:t xml:space="preserve"> 2</w:t>
      </w:r>
      <w:r w:rsidRPr="00853D5A">
        <w:rPr>
          <w:b/>
          <w:bCs/>
        </w:rPr>
        <w:t>: Set timing offset to the value in the range Δt=2</w:t>
      </w:r>
      <w:r w:rsidRPr="00853D5A">
        <w:rPr>
          <w:b/>
          <w:bCs/>
          <w:vertAlign w:val="superscript"/>
        </w:rPr>
        <w:t>-μ</w:t>
      </w:r>
      <w:r w:rsidRPr="00853D5A">
        <w:rPr>
          <w:b/>
          <w:bCs/>
        </w:rPr>
        <w:t>Δt</w:t>
      </w:r>
      <w:r w:rsidRPr="00853D5A">
        <w:rPr>
          <w:b/>
          <w:bCs/>
          <w:vertAlign w:val="subscript"/>
        </w:rPr>
        <w:t>1</w:t>
      </w:r>
      <w:r w:rsidR="00BB410C">
        <w:rPr>
          <w:b/>
          <w:bCs/>
        </w:rPr>
        <w:t xml:space="preserve"> with </w:t>
      </w:r>
      <w:r w:rsidRPr="00853D5A">
        <w:rPr>
          <w:b/>
          <w:bCs/>
        </w:rPr>
        <w:t>Δt</w:t>
      </w:r>
      <w:r w:rsidRPr="00853D5A">
        <w:rPr>
          <w:b/>
          <w:bCs/>
          <w:vertAlign w:val="subscript"/>
        </w:rPr>
        <w:t>1</w:t>
      </w:r>
      <w:r w:rsidRPr="00853D5A">
        <w:rPr>
          <w:b/>
          <w:bCs/>
        </w:rPr>
        <w:t xml:space="preserve"> = [-0.5, 2] μs. </w:t>
      </w:r>
    </w:p>
    <w:p w14:paraId="0D91FA38" w14:textId="09CA684C" w:rsidR="00E41593" w:rsidRPr="00E41593" w:rsidRDefault="00E41593" w:rsidP="00E41593"/>
    <w:p w14:paraId="49278F6A" w14:textId="13AFBC18" w:rsidR="00A078CC" w:rsidRPr="00A078CC" w:rsidRDefault="00A078CC" w:rsidP="0009442F">
      <w:pPr>
        <w:rPr>
          <w:u w:val="single"/>
        </w:rPr>
      </w:pPr>
      <w:r w:rsidRPr="00A078CC">
        <w:rPr>
          <w:u w:val="single"/>
        </w:rPr>
        <w:t>TRS/CSI-RS configuration</w:t>
      </w:r>
    </w:p>
    <w:tbl>
      <w:tblPr>
        <w:tblStyle w:val="TableGrid"/>
        <w:tblW w:w="0" w:type="auto"/>
        <w:tblLook w:val="04A0" w:firstRow="1" w:lastRow="0" w:firstColumn="1" w:lastColumn="0" w:noHBand="0" w:noVBand="1"/>
      </w:tblPr>
      <w:tblGrid>
        <w:gridCol w:w="9629"/>
      </w:tblGrid>
      <w:tr w:rsidR="00A078CC" w14:paraId="4AADFD68" w14:textId="77777777" w:rsidTr="00A078CC">
        <w:tc>
          <w:tcPr>
            <w:tcW w:w="9629" w:type="dxa"/>
          </w:tcPr>
          <w:p w14:paraId="1C5381F9" w14:textId="5A71FF2E" w:rsidR="00A078CC" w:rsidRDefault="00A078CC" w:rsidP="00A078CC">
            <w:pPr>
              <w:spacing w:after="0"/>
            </w:pPr>
            <w:r w:rsidRPr="00A078CC">
              <w:t>Taking non-colliding TRS/CSI-RS in multi-TRP/panel as baseline assumption meanwhile interested companies are encouraged to bring more analysis and evaluation results for non-colliding and colliding cases.</w:t>
            </w:r>
          </w:p>
        </w:tc>
      </w:tr>
    </w:tbl>
    <w:p w14:paraId="171105BF" w14:textId="75E6C39F" w:rsidR="00C72DEF" w:rsidRDefault="00C72DEF" w:rsidP="0009442F"/>
    <w:p w14:paraId="506DEB8E" w14:textId="6312C4F8" w:rsidR="00A078CC" w:rsidRDefault="00593CAA" w:rsidP="00342B8C">
      <w:pPr>
        <w:rPr>
          <w:b/>
          <w:bCs/>
        </w:rPr>
      </w:pPr>
      <w:r>
        <w:t xml:space="preserve">The </w:t>
      </w:r>
      <w:r w:rsidR="00342B8C">
        <w:t xml:space="preserve">multi-TRP transmission in eMIMO WI </w:t>
      </w:r>
      <w:r>
        <w:t xml:space="preserve">is basically same as MIMO transmission, which means </w:t>
      </w:r>
      <w:r w:rsidR="0091310B">
        <w:t xml:space="preserve">the signals from </w:t>
      </w:r>
      <w:r w:rsidR="00342B8C">
        <w:t>all the TRP</w:t>
      </w:r>
      <w:r w:rsidR="00924BEC">
        <w:t>s</w:t>
      </w:r>
      <w:r w:rsidR="00342B8C">
        <w:t xml:space="preserve"> use the same Cell-ID. If TRS</w:t>
      </w:r>
      <w:r w:rsidR="00ED7848">
        <w:t>s</w:t>
      </w:r>
      <w:r w:rsidR="00342B8C">
        <w:t xml:space="preserve"> </w:t>
      </w:r>
      <w:r w:rsidR="00ED7848">
        <w:t xml:space="preserve">from two TRPs </w:t>
      </w:r>
      <w:r w:rsidR="00342B8C">
        <w:t xml:space="preserve">are overlapped, UE cannot distinguish TRS and therefore UE cannot perform channel analysis. We therefore propose to configure TRS with non-collided. </w:t>
      </w:r>
    </w:p>
    <w:p w14:paraId="01218A41" w14:textId="4F966056" w:rsidR="00342B8C" w:rsidRPr="00A078CC" w:rsidRDefault="00342B8C" w:rsidP="00342B8C">
      <w:pPr>
        <w:rPr>
          <w:b/>
          <w:bCs/>
        </w:rPr>
      </w:pPr>
      <w:r>
        <w:rPr>
          <w:b/>
          <w:bCs/>
        </w:rPr>
        <w:t>Proposal</w:t>
      </w:r>
      <w:r w:rsidR="00F104DD">
        <w:rPr>
          <w:b/>
          <w:bCs/>
        </w:rPr>
        <w:t xml:space="preserve"> 3</w:t>
      </w:r>
      <w:r>
        <w:rPr>
          <w:b/>
          <w:bCs/>
        </w:rPr>
        <w:t xml:space="preserve">: TRS from different TRP should be non-collided. </w:t>
      </w:r>
      <w:r w:rsidR="00B961F0">
        <w:rPr>
          <w:b/>
          <w:bCs/>
        </w:rPr>
        <w:t xml:space="preserve">The signals/channels from all the TRPs should use the same Cell ID. </w:t>
      </w:r>
    </w:p>
    <w:p w14:paraId="7480D50A" w14:textId="15BC3A0D" w:rsidR="00342B8C" w:rsidRPr="00342B8C" w:rsidRDefault="00342B8C" w:rsidP="0009442F"/>
    <w:p w14:paraId="44CE034A" w14:textId="4FBF2F27" w:rsidR="00A078CC" w:rsidRPr="00DE3EB0" w:rsidRDefault="00DE3EB0" w:rsidP="0009442F">
      <w:pPr>
        <w:rPr>
          <w:u w:val="single"/>
        </w:rPr>
      </w:pPr>
      <w:r w:rsidRPr="00DE3EB0">
        <w:rPr>
          <w:u w:val="single"/>
        </w:rPr>
        <w:t>PDSCH antenna configuration</w:t>
      </w:r>
    </w:p>
    <w:tbl>
      <w:tblPr>
        <w:tblStyle w:val="TableGrid"/>
        <w:tblW w:w="0" w:type="auto"/>
        <w:tblLook w:val="04A0" w:firstRow="1" w:lastRow="0" w:firstColumn="1" w:lastColumn="0" w:noHBand="0" w:noVBand="1"/>
      </w:tblPr>
      <w:tblGrid>
        <w:gridCol w:w="9629"/>
      </w:tblGrid>
      <w:tr w:rsidR="0003730A" w14:paraId="2407CF7E" w14:textId="77777777" w:rsidTr="0003730A">
        <w:tc>
          <w:tcPr>
            <w:tcW w:w="9629" w:type="dxa"/>
          </w:tcPr>
          <w:p w14:paraId="13D090BE" w14:textId="1615925C" w:rsidR="0003730A" w:rsidRDefault="0003730A" w:rsidP="0003730A">
            <w:pPr>
              <w:spacing w:after="0"/>
            </w:pPr>
            <w:r>
              <w:lastRenderedPageBreak/>
              <w:t>Antenna configuration:</w:t>
            </w:r>
          </w:p>
          <w:p w14:paraId="0EEA6976" w14:textId="14F58B76" w:rsidR="0003730A" w:rsidRDefault="0003730A" w:rsidP="0003730A">
            <w:pPr>
              <w:pStyle w:val="ListParagraph"/>
              <w:numPr>
                <w:ilvl w:val="0"/>
                <w:numId w:val="30"/>
              </w:numPr>
              <w:spacing w:after="0"/>
            </w:pPr>
            <w:r>
              <w:t>Option1: Only 2T2R, 2T4R</w:t>
            </w:r>
          </w:p>
          <w:p w14:paraId="1F8A9F23" w14:textId="6951890C" w:rsidR="0003730A" w:rsidRDefault="0003730A" w:rsidP="0003730A">
            <w:pPr>
              <w:pStyle w:val="ListParagraph"/>
              <w:numPr>
                <w:ilvl w:val="0"/>
                <w:numId w:val="30"/>
              </w:numPr>
              <w:spacing w:after="0"/>
            </w:pPr>
            <w:r>
              <w:t xml:space="preserve">Option2: Both 2T2R, 2T4R and </w:t>
            </w:r>
            <w:r w:rsidRPr="003C22AF">
              <w:t>4T2R, 4T4R​</w:t>
            </w:r>
          </w:p>
        </w:tc>
      </w:tr>
    </w:tbl>
    <w:p w14:paraId="4FF81EAB" w14:textId="6109F003" w:rsidR="003C22AF" w:rsidRDefault="007B2654" w:rsidP="0009442F">
      <w:r>
        <w:fldChar w:fldCharType="begin"/>
      </w:r>
      <w:r>
        <w:instrText xml:space="preserve"> REF _Ref46420402 \h </w:instrText>
      </w:r>
      <w:r>
        <w:fldChar w:fldCharType="separate"/>
      </w:r>
      <w:r w:rsidR="00F818F2">
        <w:t xml:space="preserve">Figure </w:t>
      </w:r>
      <w:r w:rsidR="00F818F2">
        <w:rPr>
          <w:noProof/>
        </w:rPr>
        <w:t>4</w:t>
      </w:r>
      <w:r>
        <w:fldChar w:fldCharType="end"/>
      </w:r>
      <w:r>
        <w:t xml:space="preserve"> compares the performance between 2Tx and 4Tx per TRP</w:t>
      </w:r>
      <w:r w:rsidR="000E3B7E">
        <w:t>, where we set 2Rx for UE. It is observed minor performance gain of 4Tx compared with 2Tx.</w:t>
      </w:r>
      <w:r w:rsidR="00982BB8">
        <w:t xml:space="preserve"> However </w:t>
      </w:r>
      <w:r w:rsidR="0054569B">
        <w:t>it is no difference from UE demodulation point of view between 2Tx or 4Tx per TRP because</w:t>
      </w:r>
      <w:r w:rsidR="00E223BB">
        <w:t xml:space="preserve"> each TRP only need to transmit 1 DMRS port (sDCI-based SDM) or 2 DMRS ports (mDCI-based SDM)</w:t>
      </w:r>
      <w:r w:rsidR="0054569B">
        <w:t>. We therefore propose to configure 2Tx per TRP</w:t>
      </w:r>
      <w:r w:rsidR="00D36486">
        <w:t xml:space="preserve"> for multi-TRP PDSCH demodulation requir</w:t>
      </w:r>
      <w:r w:rsidR="00A42F0F">
        <w:t xml:space="preserve">ements. </w:t>
      </w:r>
    </w:p>
    <w:p w14:paraId="1B471897" w14:textId="3B5D7372" w:rsidR="002C711B" w:rsidRPr="002C711B" w:rsidRDefault="002C711B" w:rsidP="0009442F">
      <w:pPr>
        <w:rPr>
          <w:b/>
          <w:bCs/>
        </w:rPr>
      </w:pPr>
      <w:r w:rsidRPr="002C711B">
        <w:rPr>
          <w:b/>
          <w:bCs/>
        </w:rPr>
        <w:t>Proposal</w:t>
      </w:r>
      <w:r w:rsidR="00F104DD">
        <w:rPr>
          <w:b/>
          <w:bCs/>
        </w:rPr>
        <w:t xml:space="preserve"> 4</w:t>
      </w:r>
      <w:r w:rsidRPr="002C711B">
        <w:rPr>
          <w:b/>
          <w:bCs/>
        </w:rPr>
        <w:t xml:space="preserve">: Configure 2T2R and 2T4R per TRP for multi-TRP PDSCH demodulation requirements. </w:t>
      </w:r>
    </w:p>
    <w:p w14:paraId="39954CE1" w14:textId="70C3B967" w:rsidR="00AE1DB5" w:rsidRDefault="00AE1DB5" w:rsidP="0009442F">
      <w:r w:rsidRPr="00AE1DB5">
        <w:rPr>
          <w:noProof/>
        </w:rPr>
        <w:drawing>
          <wp:inline distT="0" distB="0" distL="0" distR="0" wp14:anchorId="0338DD7F" wp14:editId="1DE18BFA">
            <wp:extent cx="3160800" cy="236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60800" cy="2368800"/>
                    </a:xfrm>
                    <a:prstGeom prst="rect">
                      <a:avLst/>
                    </a:prstGeom>
                    <a:noFill/>
                    <a:ln>
                      <a:noFill/>
                    </a:ln>
                  </pic:spPr>
                </pic:pic>
              </a:graphicData>
            </a:graphic>
          </wp:inline>
        </w:drawing>
      </w:r>
    </w:p>
    <w:p w14:paraId="1FAC9E7A" w14:textId="3977EDA3" w:rsidR="003C22AF" w:rsidRDefault="003C22AF" w:rsidP="003C22AF">
      <w:pPr>
        <w:pStyle w:val="Caption"/>
      </w:pPr>
      <w:bookmarkStart w:id="6" w:name="_Ref46420402"/>
      <w:r>
        <w:t xml:space="preserve">Figure </w:t>
      </w:r>
      <w:fldSimple w:instr=" SEQ Figure \* ARABIC ">
        <w:r w:rsidR="00F818F2">
          <w:rPr>
            <w:noProof/>
          </w:rPr>
          <w:t>4</w:t>
        </w:r>
      </w:fldSimple>
      <w:bookmarkEnd w:id="6"/>
      <w:r>
        <w:tab/>
        <w:t>Comparison between 2Tx and 4Tx per TRP.</w:t>
      </w:r>
    </w:p>
    <w:p w14:paraId="0575B4A2" w14:textId="77777777" w:rsidR="00AE1DB5" w:rsidRDefault="00AE1DB5" w:rsidP="0009442F"/>
    <w:p w14:paraId="55565C36" w14:textId="03C311C6" w:rsidR="0003730A" w:rsidRPr="0003730A" w:rsidRDefault="0003730A" w:rsidP="0009442F">
      <w:pPr>
        <w:rPr>
          <w:u w:val="single"/>
        </w:rPr>
      </w:pPr>
      <w:r w:rsidRPr="0003730A">
        <w:rPr>
          <w:u w:val="single"/>
        </w:rPr>
        <w:t>Number of test cases for single-DCI based SDM transmission</w:t>
      </w:r>
    </w:p>
    <w:tbl>
      <w:tblPr>
        <w:tblStyle w:val="TableGrid"/>
        <w:tblW w:w="0" w:type="auto"/>
        <w:tblLook w:val="04A0" w:firstRow="1" w:lastRow="0" w:firstColumn="1" w:lastColumn="0" w:noHBand="0" w:noVBand="1"/>
      </w:tblPr>
      <w:tblGrid>
        <w:gridCol w:w="9629"/>
      </w:tblGrid>
      <w:tr w:rsidR="0003730A" w14:paraId="44A753A7" w14:textId="77777777" w:rsidTr="0003730A">
        <w:tc>
          <w:tcPr>
            <w:tcW w:w="9629" w:type="dxa"/>
          </w:tcPr>
          <w:p w14:paraId="65329FC1" w14:textId="77777777" w:rsidR="0003730A" w:rsidRDefault="0003730A" w:rsidP="0003730A">
            <w:pPr>
              <w:pStyle w:val="ListParagraph"/>
              <w:numPr>
                <w:ilvl w:val="0"/>
                <w:numId w:val="30"/>
              </w:numPr>
              <w:spacing w:after="0"/>
            </w:pPr>
            <w:r>
              <w:t>Layer combination: 1+1 for both 2Rx and 4Rx</w:t>
            </w:r>
          </w:p>
          <w:p w14:paraId="62279B88" w14:textId="77777777" w:rsidR="0003730A" w:rsidRDefault="0003730A" w:rsidP="0003730A">
            <w:pPr>
              <w:pStyle w:val="ListParagraph"/>
              <w:numPr>
                <w:ilvl w:val="0"/>
                <w:numId w:val="30"/>
              </w:numPr>
              <w:spacing w:after="0"/>
            </w:pPr>
            <w:r>
              <w:t>Number of TCI state: Two TCI states configuration</w:t>
            </w:r>
          </w:p>
          <w:p w14:paraId="2486AA3E" w14:textId="77777777" w:rsidR="0003730A" w:rsidRDefault="0003730A" w:rsidP="0003730A">
            <w:pPr>
              <w:pStyle w:val="ListParagraph"/>
              <w:numPr>
                <w:ilvl w:val="0"/>
                <w:numId w:val="30"/>
              </w:numPr>
              <w:spacing w:after="0"/>
            </w:pPr>
            <w:r>
              <w:t>Number of test cases</w:t>
            </w:r>
          </w:p>
          <w:p w14:paraId="5D3DCD56" w14:textId="77777777" w:rsidR="0003730A" w:rsidRDefault="0003730A" w:rsidP="0003730A">
            <w:pPr>
              <w:pStyle w:val="ListParagraph"/>
              <w:numPr>
                <w:ilvl w:val="1"/>
                <w:numId w:val="30"/>
              </w:numPr>
              <w:spacing w:after="0"/>
            </w:pPr>
            <w:r>
              <w:t xml:space="preserve">Option 1: 3 test cases per duplex mode  </w:t>
            </w:r>
          </w:p>
          <w:p w14:paraId="26FB3AA7" w14:textId="77777777" w:rsidR="0003730A" w:rsidRDefault="0003730A" w:rsidP="0003730A">
            <w:pPr>
              <w:pStyle w:val="ListParagraph"/>
              <w:numPr>
                <w:ilvl w:val="2"/>
                <w:numId w:val="30"/>
              </w:numPr>
              <w:spacing w:after="0"/>
            </w:pPr>
            <w:r>
              <w:t xml:space="preserve">Test 1a Single DCI with frequency offset and overlapping scheduling </w:t>
            </w:r>
          </w:p>
          <w:p w14:paraId="0F05ED6A" w14:textId="77777777" w:rsidR="0003730A" w:rsidRDefault="0003730A" w:rsidP="0003730A">
            <w:pPr>
              <w:pStyle w:val="ListParagraph"/>
              <w:numPr>
                <w:ilvl w:val="2"/>
                <w:numId w:val="30"/>
              </w:numPr>
              <w:spacing w:after="0"/>
            </w:pPr>
            <w:r>
              <w:t>Test 1b Single DCI with positive time offset and overlapping scheduling</w:t>
            </w:r>
          </w:p>
          <w:p w14:paraId="7171BFB1" w14:textId="77777777" w:rsidR="0003730A" w:rsidRDefault="0003730A" w:rsidP="0003730A">
            <w:pPr>
              <w:pStyle w:val="ListParagraph"/>
              <w:numPr>
                <w:ilvl w:val="2"/>
                <w:numId w:val="30"/>
              </w:numPr>
              <w:spacing w:after="0"/>
            </w:pPr>
            <w:r>
              <w:t>Test 1c Single DCI with negative time offset and overlapping scheduling</w:t>
            </w:r>
          </w:p>
          <w:p w14:paraId="33F121B8" w14:textId="557FD3CC" w:rsidR="0003730A" w:rsidRDefault="0003730A" w:rsidP="0003730A">
            <w:pPr>
              <w:pStyle w:val="ListParagraph"/>
              <w:numPr>
                <w:ilvl w:val="1"/>
                <w:numId w:val="30"/>
              </w:numPr>
              <w:spacing w:after="0"/>
            </w:pPr>
            <w:r>
              <w:t>Other options are not preclude​d</w:t>
            </w:r>
          </w:p>
        </w:tc>
      </w:tr>
    </w:tbl>
    <w:p w14:paraId="531EE02B" w14:textId="7253A961" w:rsidR="006170ED" w:rsidRDefault="00B03389" w:rsidP="0009442F">
      <w:r>
        <w:t>We don’t want to increase the number of test cases. Since RAN4 has agreed to define at least mDCI</w:t>
      </w:r>
      <w:r w:rsidR="004C55E3">
        <w:t>-</w:t>
      </w:r>
      <w:r>
        <w:t>based SDM and sDCI</w:t>
      </w:r>
      <w:r w:rsidR="004C55E3">
        <w:t>-</w:t>
      </w:r>
      <w:r>
        <w:t xml:space="preserve">based SDM, </w:t>
      </w:r>
      <w:r w:rsidR="005B64D0">
        <w:t xml:space="preserve">one option is to set frequency offset and positive time offset for mDCI-based SDM and to set frequency offset and negative time offset for sDCI-based SDM. </w:t>
      </w:r>
    </w:p>
    <w:p w14:paraId="6EDC7E34" w14:textId="2E6160FA" w:rsidR="002E1781" w:rsidRPr="002E1781" w:rsidRDefault="002E1781" w:rsidP="002E1781">
      <w:pPr>
        <w:rPr>
          <w:b/>
          <w:bCs/>
        </w:rPr>
      </w:pPr>
      <w:r w:rsidRPr="002E1781">
        <w:rPr>
          <w:b/>
          <w:bCs/>
        </w:rPr>
        <w:t>Proposal</w:t>
      </w:r>
      <w:r w:rsidR="008424A7">
        <w:rPr>
          <w:b/>
          <w:bCs/>
        </w:rPr>
        <w:t xml:space="preserve"> 5</w:t>
      </w:r>
      <w:r w:rsidRPr="002E1781">
        <w:rPr>
          <w:b/>
          <w:bCs/>
        </w:rPr>
        <w:t>: For frequency offset and timing offset:</w:t>
      </w:r>
    </w:p>
    <w:p w14:paraId="1241B5D9" w14:textId="5B3EDA61" w:rsidR="002E1781" w:rsidRPr="002E1781" w:rsidRDefault="002E1781" w:rsidP="002E1781">
      <w:pPr>
        <w:pStyle w:val="ListParagraph"/>
        <w:numPr>
          <w:ilvl w:val="0"/>
          <w:numId w:val="30"/>
        </w:numPr>
        <w:rPr>
          <w:b/>
          <w:bCs/>
        </w:rPr>
      </w:pPr>
      <w:r w:rsidRPr="002E1781">
        <w:rPr>
          <w:b/>
          <w:bCs/>
        </w:rPr>
        <w:t>Set frequency offset (200Hz</w:t>
      </w:r>
      <w:r w:rsidR="004C55E3">
        <w:rPr>
          <w:b/>
          <w:bCs/>
        </w:rPr>
        <w:t xml:space="preserve"> for FDD and 300kHz for TDD</w:t>
      </w:r>
      <w:r w:rsidRPr="002E1781">
        <w:rPr>
          <w:b/>
          <w:bCs/>
        </w:rPr>
        <w:t>) and positive time offset (2us</w:t>
      </w:r>
      <w:r w:rsidR="004C55E3">
        <w:rPr>
          <w:b/>
          <w:bCs/>
        </w:rPr>
        <w:t xml:space="preserve"> for FDD SCS=15kHz and 1us for TDD SCS=30kHz</w:t>
      </w:r>
      <w:r w:rsidRPr="002E1781">
        <w:rPr>
          <w:b/>
          <w:bCs/>
        </w:rPr>
        <w:t>) for mDCI-based SD</w:t>
      </w:r>
      <w:r w:rsidR="004C55E3">
        <w:rPr>
          <w:b/>
          <w:bCs/>
        </w:rPr>
        <w:t xml:space="preserve">M. </w:t>
      </w:r>
    </w:p>
    <w:p w14:paraId="0F81E81C" w14:textId="19B18E27" w:rsidR="002E1781" w:rsidRDefault="002E1781" w:rsidP="002E1781">
      <w:pPr>
        <w:pStyle w:val="ListParagraph"/>
        <w:numPr>
          <w:ilvl w:val="0"/>
          <w:numId w:val="30"/>
        </w:numPr>
      </w:pPr>
      <w:r w:rsidRPr="002E1781">
        <w:rPr>
          <w:b/>
          <w:bCs/>
        </w:rPr>
        <w:t>Set frequency offset (200Hz</w:t>
      </w:r>
      <w:r w:rsidR="004C55E3">
        <w:rPr>
          <w:b/>
          <w:bCs/>
        </w:rPr>
        <w:t xml:space="preserve"> for FDD and 300kHz for TDD</w:t>
      </w:r>
      <w:r w:rsidRPr="002E1781">
        <w:rPr>
          <w:b/>
          <w:bCs/>
        </w:rPr>
        <w:t>) and negative time offset (-</w:t>
      </w:r>
      <w:r w:rsidR="005F2EBA">
        <w:rPr>
          <w:b/>
          <w:bCs/>
        </w:rPr>
        <w:t>0.5</w:t>
      </w:r>
      <w:r w:rsidRPr="002E1781">
        <w:rPr>
          <w:b/>
          <w:bCs/>
        </w:rPr>
        <w:t>us</w:t>
      </w:r>
      <w:r w:rsidR="004C55E3">
        <w:rPr>
          <w:b/>
          <w:bCs/>
        </w:rPr>
        <w:t xml:space="preserve"> for FDD SCS=15kHz and -0.25us for SCS=30kHz</w:t>
      </w:r>
      <w:r w:rsidRPr="002E1781">
        <w:rPr>
          <w:b/>
          <w:bCs/>
        </w:rPr>
        <w:t>) for sDCI-based SDM</w:t>
      </w:r>
      <w:r w:rsidR="00767B11">
        <w:rPr>
          <w:b/>
          <w:bCs/>
        </w:rPr>
        <w:t>.</w:t>
      </w:r>
    </w:p>
    <w:p w14:paraId="58051191" w14:textId="784AAD7F" w:rsidR="0003730A" w:rsidRPr="0003730A" w:rsidRDefault="0003730A" w:rsidP="0009442F">
      <w:pPr>
        <w:rPr>
          <w:u w:val="single"/>
        </w:rPr>
      </w:pPr>
      <w:r w:rsidRPr="0003730A">
        <w:rPr>
          <w:u w:val="single"/>
        </w:rPr>
        <w:t>FR2</w:t>
      </w:r>
    </w:p>
    <w:tbl>
      <w:tblPr>
        <w:tblStyle w:val="TableGrid"/>
        <w:tblW w:w="0" w:type="auto"/>
        <w:tblLook w:val="04A0" w:firstRow="1" w:lastRow="0" w:firstColumn="1" w:lastColumn="0" w:noHBand="0" w:noVBand="1"/>
      </w:tblPr>
      <w:tblGrid>
        <w:gridCol w:w="9629"/>
      </w:tblGrid>
      <w:tr w:rsidR="0003730A" w14:paraId="537775D4" w14:textId="77777777" w:rsidTr="0003730A">
        <w:tc>
          <w:tcPr>
            <w:tcW w:w="9629" w:type="dxa"/>
          </w:tcPr>
          <w:p w14:paraId="4487F1BA" w14:textId="2E27EB02" w:rsidR="00015D49" w:rsidRDefault="00015D49" w:rsidP="00015D49">
            <w:pPr>
              <w:spacing w:after="0"/>
            </w:pPr>
            <w:r>
              <w:lastRenderedPageBreak/>
              <w:t>Necessity of introducing test case(s) for multi-panel/TRP transmission schemes in FR2​</w:t>
            </w:r>
          </w:p>
          <w:p w14:paraId="7F85761F" w14:textId="3A008EF2" w:rsidR="00015D49" w:rsidRDefault="00015D49" w:rsidP="00015D49">
            <w:pPr>
              <w:pStyle w:val="ListParagraph"/>
              <w:numPr>
                <w:ilvl w:val="0"/>
                <w:numId w:val="31"/>
              </w:numPr>
              <w:spacing w:after="0"/>
            </w:pPr>
            <w:r>
              <w:t>Option 1: No</w:t>
            </w:r>
          </w:p>
          <w:p w14:paraId="426E6CA6" w14:textId="5C648E36" w:rsidR="00015D49" w:rsidRDefault="00015D49" w:rsidP="00015D49">
            <w:pPr>
              <w:pStyle w:val="ListParagraph"/>
              <w:numPr>
                <w:ilvl w:val="0"/>
                <w:numId w:val="31"/>
              </w:numPr>
              <w:spacing w:after="0"/>
            </w:pPr>
            <w:r>
              <w:t>Option 2: Do not define FR2 requirements for simultaneous reception from multi-TRP/Panel (eMBB) and Study testability for FR2 single-DCI based multi-TRP schemes 3 and 4 ​</w:t>
            </w:r>
          </w:p>
          <w:p w14:paraId="79F1FCAD" w14:textId="214AED87" w:rsidR="0003730A" w:rsidRDefault="00015D49" w:rsidP="00015D49">
            <w:pPr>
              <w:pStyle w:val="ListParagraph"/>
              <w:numPr>
                <w:ilvl w:val="0"/>
                <w:numId w:val="31"/>
              </w:numPr>
              <w:spacing w:after="0"/>
            </w:pPr>
            <w:r>
              <w:t>Option 3: Further discuss technical details and relevance of single wide Rx beam reception in FR2</w:t>
            </w:r>
          </w:p>
        </w:tc>
      </w:tr>
    </w:tbl>
    <w:p w14:paraId="63EED161" w14:textId="5B0AA2DF" w:rsidR="0003730A" w:rsidRDefault="0003730A" w:rsidP="0009442F"/>
    <w:p w14:paraId="45E86E5F" w14:textId="561D6EDC" w:rsidR="004314D6" w:rsidRDefault="005B3682" w:rsidP="00180F7C">
      <w:r>
        <w:t xml:space="preserve">One open issue is whether to define multi-TRP demodulation requirements for </w:t>
      </w:r>
      <w:r w:rsidR="00441201">
        <w:t xml:space="preserve">FR2. </w:t>
      </w:r>
      <w:r w:rsidR="00627A3A">
        <w:t>In our understanding m</w:t>
      </w:r>
      <w:r w:rsidR="005C3F91">
        <w:t xml:space="preserve">ost companies think </w:t>
      </w:r>
      <w:r w:rsidR="00627A3A">
        <w:t xml:space="preserve">it is not feasible to define PDSCH demodulation requirements </w:t>
      </w:r>
      <w:r w:rsidR="001D3AB2">
        <w:t xml:space="preserve">for multi-TRP </w:t>
      </w:r>
      <w:r w:rsidR="0054080C">
        <w:t xml:space="preserve">in FR2 </w:t>
      </w:r>
      <w:r w:rsidR="001D3AB2">
        <w:t xml:space="preserve">because FR2 UE can use one Rx beam only </w:t>
      </w:r>
      <w:r w:rsidR="009D4935">
        <w:t xml:space="preserve">and UE cannot receive signals from multiple TRPs with </w:t>
      </w:r>
      <w:r w:rsidR="000E651B">
        <w:t xml:space="preserve">the </w:t>
      </w:r>
      <w:r w:rsidR="009D4935">
        <w:t xml:space="preserve">single Rx beam. </w:t>
      </w:r>
    </w:p>
    <w:p w14:paraId="6A6AF953" w14:textId="032824D8" w:rsidR="005C3F91" w:rsidRDefault="000F1F20" w:rsidP="00180F7C">
      <w:r>
        <w:t xml:space="preserve">In </w:t>
      </w:r>
      <w:r w:rsidR="004314D6">
        <w:t>Option 3</w:t>
      </w:r>
      <w:r>
        <w:t xml:space="preserve">, the idea is to use ‘wide’ Rx beam to be able to receive signals from multiple TRPs, however </w:t>
      </w:r>
      <w:r w:rsidR="00112E65">
        <w:t xml:space="preserve">it is not clear </w:t>
      </w:r>
      <w:r w:rsidR="00EA0111">
        <w:t>(no definition) how</w:t>
      </w:r>
      <w:r w:rsidR="00112E65">
        <w:t xml:space="preserve"> ‘wide’ the </w:t>
      </w:r>
      <w:r w:rsidR="00C4395C">
        <w:t xml:space="preserve">Rx </w:t>
      </w:r>
      <w:r w:rsidR="00112E65">
        <w:t xml:space="preserve">beam </w:t>
      </w:r>
      <w:r w:rsidR="00EA0111">
        <w:t xml:space="preserve">is </w:t>
      </w:r>
      <w:r w:rsidR="00C4395C">
        <w:t>and it also affects to OTA test environment (i.e., where the Tx antenna is set in the chamber</w:t>
      </w:r>
      <w:r w:rsidR="00B73BB6">
        <w:t xml:space="preserve"> during the conformance test</w:t>
      </w:r>
      <w:r w:rsidR="00C4395C">
        <w:t>)</w:t>
      </w:r>
      <w:r w:rsidR="00EA0111">
        <w:t xml:space="preserve">. </w:t>
      </w:r>
      <w:r w:rsidR="009C52CC">
        <w:t xml:space="preserve">Since RAN4 requirement is the minimum requirements, we propose not to define multi-TRP demodulation requirements for FR2. </w:t>
      </w:r>
    </w:p>
    <w:p w14:paraId="020EC113" w14:textId="6E68520E" w:rsidR="009C52CC" w:rsidRPr="009C52CC" w:rsidRDefault="009C52CC" w:rsidP="00180F7C">
      <w:pPr>
        <w:rPr>
          <w:b/>
          <w:bCs/>
        </w:rPr>
      </w:pPr>
      <w:r w:rsidRPr="009C52CC">
        <w:rPr>
          <w:b/>
          <w:bCs/>
        </w:rPr>
        <w:t>Proposal</w:t>
      </w:r>
      <w:r w:rsidR="00946D75">
        <w:rPr>
          <w:b/>
          <w:bCs/>
        </w:rPr>
        <w:t xml:space="preserve"> 6</w:t>
      </w:r>
      <w:r w:rsidRPr="009C52CC">
        <w:rPr>
          <w:b/>
          <w:bCs/>
        </w:rPr>
        <w:t>: Not to introduce test case(s) for multi-panel/TRP transmission schemes in FR2</w:t>
      </w:r>
      <w:r w:rsidR="00946D75">
        <w:rPr>
          <w:b/>
          <w:bCs/>
        </w:rPr>
        <w:t>.</w:t>
      </w:r>
    </w:p>
    <w:p w14:paraId="5AA8B029" w14:textId="00CC53BA" w:rsidR="00F30B0A" w:rsidRDefault="00F30B0A" w:rsidP="00886BA4">
      <w:pPr>
        <w:pStyle w:val="Heading1"/>
      </w:pPr>
      <w:r>
        <w:t>4</w:t>
      </w:r>
      <w:r>
        <w:tab/>
        <w:t>FDM</w:t>
      </w:r>
      <w:r w:rsidR="00E90A0A">
        <w:t>/TDM</w:t>
      </w:r>
      <w:r>
        <w:t xml:space="preserve"> schemes</w:t>
      </w:r>
    </w:p>
    <w:p w14:paraId="345D4E62" w14:textId="77777777" w:rsidR="00E90A0A" w:rsidRPr="009538C1" w:rsidRDefault="00E90A0A" w:rsidP="00E90A0A">
      <w:pPr>
        <w:rPr>
          <w:u w:val="single"/>
          <w:lang w:val="en-GB"/>
        </w:rPr>
      </w:pPr>
      <w:r w:rsidRPr="009538C1">
        <w:rPr>
          <w:u w:val="single"/>
          <w:lang w:val="en-GB"/>
        </w:rPr>
        <w:t>FDM Schemes</w:t>
      </w:r>
    </w:p>
    <w:p w14:paraId="7A94C7FC" w14:textId="243EF52D" w:rsidR="00E90A0A" w:rsidRDefault="00E90A0A" w:rsidP="00E90A0A">
      <w:pPr>
        <w:rPr>
          <w:lang w:val="en-GB"/>
        </w:rPr>
      </w:pPr>
      <w:r w:rsidRPr="0057234A">
        <w:rPr>
          <w:lang w:val="en-GB"/>
        </w:rPr>
        <w:t xml:space="preserve">FDM schemes transmit PDSCH </w:t>
      </w:r>
      <w:r>
        <w:rPr>
          <w:lang w:val="en-GB"/>
        </w:rPr>
        <w:t xml:space="preserve">symbols from two TRPs, but they use different PRBs, i.e., overlapped in time, non-overlapped in frequency. Which PRB is transmitted from which TRP depends on the </w:t>
      </w:r>
      <w:r w:rsidRPr="00737716">
        <w:rPr>
          <w:lang w:val="en-GB"/>
        </w:rPr>
        <w:t>precoding granularity</w:t>
      </w:r>
      <w:r>
        <w:rPr>
          <w:lang w:val="en-GB"/>
        </w:rPr>
        <w:t>,</w:t>
      </w:r>
      <w:r w:rsidR="00F924E3">
        <w:rPr>
          <w:lang w:val="en-GB"/>
        </w:rPr>
        <w:t xml:space="preserve"> </w:t>
      </w:r>
      <w:r>
        <w:rPr>
          <w:lang w:val="en-GB"/>
        </w:rPr>
        <w:t xml:space="preserve">according to TS38.214 5.1.2.3. If </w:t>
      </w:r>
      <w:r w:rsidR="00197D12">
        <w:rPr>
          <w:lang w:val="en-GB"/>
        </w:rPr>
        <w:t xml:space="preserve">the </w:t>
      </w:r>
      <w:r>
        <w:rPr>
          <w:lang w:val="en-GB"/>
        </w:rPr>
        <w:t xml:space="preserve">precoding granularity is configured as ‘wideband’, the first </w:t>
      </w:r>
      <m:oMath>
        <m:d>
          <m:dPr>
            <m:begChr m:val="⌈"/>
            <m:endChr m:val="⌉"/>
            <m:ctrlPr>
              <w:rPr>
                <w:rFonts w:ascii="Cambria Math" w:hAnsi="Cambria Math"/>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PRB</m:t>
                    </m:r>
                  </m:sub>
                </m:sSub>
              </m:num>
              <m:den>
                <m:r>
                  <w:rPr>
                    <w:rFonts w:ascii="Cambria Math" w:hAnsi="Cambria Math"/>
                    <w:lang w:val="en-GB"/>
                  </w:rPr>
                  <m:t>2</m:t>
                </m:r>
              </m:den>
            </m:f>
          </m:e>
        </m:d>
      </m:oMath>
      <w:r>
        <w:rPr>
          <w:lang w:val="en-GB"/>
        </w:rPr>
        <w:t xml:space="preserve"> PRBs are transmitted from TRP1 and the remaining </w:t>
      </w:r>
      <m:oMath>
        <m:d>
          <m:dPr>
            <m:begChr m:val="⌈"/>
            <m:endChr m:val="⌉"/>
            <m:ctrlPr>
              <w:rPr>
                <w:rFonts w:ascii="Cambria Math" w:hAnsi="Cambria Math"/>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PRB</m:t>
                    </m:r>
                  </m:sub>
                </m:sSub>
              </m:num>
              <m:den>
                <m:r>
                  <w:rPr>
                    <w:rFonts w:ascii="Cambria Math" w:hAnsi="Cambria Math"/>
                    <w:lang w:val="en-GB"/>
                  </w:rPr>
                  <m:t>2</m:t>
                </m:r>
              </m:den>
            </m:f>
          </m:e>
        </m:d>
      </m:oMath>
      <w:r>
        <w:rPr>
          <w:lang w:val="en-GB"/>
        </w:rPr>
        <w:t xml:space="preserve"> PRBs are transmitted from TRP2</w:t>
      </w:r>
      <w:r w:rsidR="002B11E7">
        <w:rPr>
          <w:lang w:val="en-GB"/>
        </w:rPr>
        <w:t>, where n</w:t>
      </w:r>
      <w:r w:rsidR="002B11E7" w:rsidRPr="002B11E7">
        <w:rPr>
          <w:vertAlign w:val="subscript"/>
          <w:lang w:val="en-GB"/>
        </w:rPr>
        <w:t>PRB</w:t>
      </w:r>
      <w:r w:rsidR="002B11E7">
        <w:rPr>
          <w:lang w:val="en-GB"/>
        </w:rPr>
        <w:t xml:space="preserve"> is the number of PRBs in the configured BWP.</w:t>
      </w:r>
      <w:r>
        <w:rPr>
          <w:lang w:val="en-GB"/>
        </w:rPr>
        <w:t xml:space="preserve"> On the other hand, if the precoding granularity is configured as 2 or 4, </w:t>
      </w:r>
      <w:r w:rsidRPr="00DE5C40">
        <w:rPr>
          <w:lang w:val="en-GB"/>
        </w:rPr>
        <w:t xml:space="preserve">even PRGs </w:t>
      </w:r>
      <w:r>
        <w:rPr>
          <w:lang w:val="en-GB"/>
        </w:rPr>
        <w:t>are transmitted from TRP1</w:t>
      </w:r>
      <w:r w:rsidRPr="00DE5C40">
        <w:rPr>
          <w:lang w:val="en-GB"/>
        </w:rPr>
        <w:t xml:space="preserve"> and odd PRGs </w:t>
      </w:r>
      <w:r>
        <w:rPr>
          <w:lang w:val="en-GB"/>
        </w:rPr>
        <w:t>are transmitted from TRP2.</w:t>
      </w:r>
    </w:p>
    <w:p w14:paraId="38C90C34" w14:textId="14F1C1CE" w:rsidR="00E90A0A" w:rsidRDefault="00E90A0A" w:rsidP="00E90A0A">
      <w:pPr>
        <w:rPr>
          <w:lang w:val="en-GB"/>
        </w:rPr>
      </w:pPr>
      <w:r w:rsidRPr="0057234A">
        <w:rPr>
          <w:lang w:val="en-GB"/>
        </w:rPr>
        <w:t xml:space="preserve">The difference between FDM scheme A and B is that </w:t>
      </w:r>
      <w:r>
        <w:rPr>
          <w:lang w:val="en-GB"/>
        </w:rPr>
        <w:t xml:space="preserve">FDM </w:t>
      </w:r>
      <w:r w:rsidRPr="0057234A">
        <w:rPr>
          <w:lang w:val="en-GB"/>
        </w:rPr>
        <w:t xml:space="preserve">scheme A uses </w:t>
      </w:r>
      <w:r>
        <w:rPr>
          <w:lang w:val="en-GB"/>
        </w:rPr>
        <w:t>s</w:t>
      </w:r>
      <w:r w:rsidRPr="00487211">
        <w:rPr>
          <w:lang w:val="en-GB"/>
        </w:rPr>
        <w:t xml:space="preserve">ingle PDSCH transmission occasion for </w:t>
      </w:r>
      <w:r>
        <w:rPr>
          <w:lang w:val="en-GB"/>
        </w:rPr>
        <w:t xml:space="preserve">one TB. On the other hand, FDM scheme B uses two PDSCH </w:t>
      </w:r>
      <w:r w:rsidRPr="00225BB3">
        <w:rPr>
          <w:lang w:val="en-GB"/>
        </w:rPr>
        <w:t>transmission occasions for one transport block</w:t>
      </w:r>
      <w:r>
        <w:rPr>
          <w:lang w:val="en-GB"/>
        </w:rPr>
        <w:t xml:space="preserve"> with two RVs. For FDM Scheme B, it is also possible to combine PDSCH </w:t>
      </w:r>
      <w:r w:rsidRPr="00225BB3">
        <w:rPr>
          <w:lang w:val="en-GB"/>
        </w:rPr>
        <w:t>symbols from two PDSCH transmission occasions</w:t>
      </w:r>
      <w:r>
        <w:rPr>
          <w:lang w:val="en-GB"/>
        </w:rPr>
        <w:t xml:space="preserve"> depending on the UE capability. If UE is not capable of soft-combining, </w:t>
      </w:r>
      <w:r w:rsidR="00AC44EF">
        <w:rPr>
          <w:lang w:val="en-GB"/>
        </w:rPr>
        <w:t xml:space="preserve">FDM scheme B is very similar to FDM scheme A </w:t>
      </w:r>
      <w:r>
        <w:rPr>
          <w:lang w:val="en-GB"/>
        </w:rPr>
        <w:t xml:space="preserve">from UE demodulation point of view. </w:t>
      </w:r>
    </w:p>
    <w:p w14:paraId="13E5F1E6" w14:textId="04A11ADB" w:rsidR="00E90A0A" w:rsidRDefault="00E90A0A" w:rsidP="00E90A0A">
      <w:pPr>
        <w:rPr>
          <w:lang w:val="en-GB"/>
        </w:rPr>
      </w:pPr>
      <w:r>
        <w:rPr>
          <w:lang w:val="en-GB"/>
        </w:rPr>
        <w:t>RAN4 has agreed to define mDCI-based SDM schemes</w:t>
      </w:r>
      <w:r w:rsidR="006C6E01">
        <w:rPr>
          <w:lang w:val="en-GB"/>
        </w:rPr>
        <w:t xml:space="preserve"> where</w:t>
      </w:r>
      <w:r w:rsidR="001F2E93">
        <w:rPr>
          <w:lang w:val="en-GB"/>
        </w:rPr>
        <w:t xml:space="preserve"> </w:t>
      </w:r>
      <w:r>
        <w:rPr>
          <w:lang w:val="en-GB"/>
        </w:rPr>
        <w:t xml:space="preserve">PDSCH symbols from two TRPs are fully overlapped in time domain but not overlapped in frequency domain. It is very similar to FDM scheme A with wideband precoding granularity. Since mDCI-based transmission requires UE to be capable of CORESETPoolIndex, we propose to define sDCI-based FDM Scheme A with applicability rule.  </w:t>
      </w:r>
    </w:p>
    <w:p w14:paraId="777DB135" w14:textId="0572ECEE" w:rsidR="00E90A0A" w:rsidRPr="00D56DC5" w:rsidRDefault="00E90A0A" w:rsidP="00E90A0A">
      <w:pPr>
        <w:rPr>
          <w:b/>
          <w:bCs/>
          <w:lang w:val="en-GB"/>
        </w:rPr>
      </w:pPr>
      <w:r w:rsidRPr="00D56DC5">
        <w:rPr>
          <w:b/>
          <w:bCs/>
          <w:lang w:val="en-GB"/>
        </w:rPr>
        <w:t>Proposal</w:t>
      </w:r>
      <w:r w:rsidR="00600E6E">
        <w:rPr>
          <w:b/>
          <w:bCs/>
          <w:lang w:val="en-GB"/>
        </w:rPr>
        <w:t xml:space="preserve"> 7</w:t>
      </w:r>
      <w:r w:rsidRPr="00D56DC5">
        <w:rPr>
          <w:b/>
          <w:bCs/>
          <w:lang w:val="en-GB"/>
        </w:rPr>
        <w:t>: RAN4 define</w:t>
      </w:r>
      <w:r>
        <w:rPr>
          <w:b/>
          <w:bCs/>
          <w:lang w:val="en-GB"/>
        </w:rPr>
        <w:t>s</w:t>
      </w:r>
      <w:r w:rsidRPr="00D56DC5">
        <w:rPr>
          <w:b/>
          <w:bCs/>
          <w:lang w:val="en-GB"/>
        </w:rPr>
        <w:t xml:space="preserve"> PDSCH demodulation requirements </w:t>
      </w:r>
      <w:r>
        <w:rPr>
          <w:b/>
          <w:bCs/>
          <w:lang w:val="en-GB"/>
        </w:rPr>
        <w:t>for</w:t>
      </w:r>
      <w:r w:rsidRPr="00D56DC5">
        <w:rPr>
          <w:b/>
          <w:bCs/>
          <w:lang w:val="en-GB"/>
        </w:rPr>
        <w:t xml:space="preserve"> </w:t>
      </w:r>
      <w:r>
        <w:rPr>
          <w:b/>
          <w:bCs/>
          <w:lang w:val="en-GB"/>
        </w:rPr>
        <w:t>s</w:t>
      </w:r>
      <w:r w:rsidRPr="007C22A9">
        <w:rPr>
          <w:b/>
          <w:bCs/>
          <w:lang w:val="en-GB"/>
        </w:rPr>
        <w:t>DCI</w:t>
      </w:r>
      <w:r>
        <w:rPr>
          <w:b/>
          <w:bCs/>
          <w:lang w:val="en-GB"/>
        </w:rPr>
        <w:t>-</w:t>
      </w:r>
      <w:r w:rsidRPr="007C22A9">
        <w:rPr>
          <w:b/>
          <w:bCs/>
          <w:lang w:val="en-GB"/>
        </w:rPr>
        <w:t>based FDM Scheme A</w:t>
      </w:r>
      <w:r w:rsidRPr="00D56DC5">
        <w:rPr>
          <w:b/>
          <w:bCs/>
          <w:lang w:val="en-GB"/>
        </w:rPr>
        <w:t>.</w:t>
      </w:r>
    </w:p>
    <w:p w14:paraId="2C044859" w14:textId="5CCE6072" w:rsidR="00E90A0A" w:rsidRPr="007C4A67" w:rsidRDefault="00E90A0A" w:rsidP="00E90A0A">
      <w:pPr>
        <w:rPr>
          <w:b/>
          <w:bCs/>
          <w:lang w:val="en-GB"/>
        </w:rPr>
      </w:pPr>
      <w:r w:rsidRPr="007C4A67">
        <w:rPr>
          <w:b/>
          <w:bCs/>
          <w:lang w:val="en-GB"/>
        </w:rPr>
        <w:t>Proposal</w:t>
      </w:r>
      <w:r w:rsidR="00600E6E">
        <w:rPr>
          <w:b/>
          <w:bCs/>
          <w:lang w:val="en-GB"/>
        </w:rPr>
        <w:t xml:space="preserve"> 8</w:t>
      </w:r>
      <w:r w:rsidRPr="007C4A67">
        <w:rPr>
          <w:b/>
          <w:bCs/>
          <w:lang w:val="en-GB"/>
        </w:rPr>
        <w:t xml:space="preserve">: If UE </w:t>
      </w:r>
      <w:r w:rsidR="001F2E93">
        <w:rPr>
          <w:b/>
          <w:bCs/>
          <w:lang w:val="en-GB"/>
        </w:rPr>
        <w:t xml:space="preserve">is capable of </w:t>
      </w:r>
      <w:r w:rsidR="008B2165">
        <w:rPr>
          <w:b/>
          <w:bCs/>
          <w:lang w:val="en-GB"/>
        </w:rPr>
        <w:t xml:space="preserve">two CORESTPoolIndex reception and </w:t>
      </w:r>
      <w:r w:rsidRPr="007C4A67">
        <w:rPr>
          <w:b/>
          <w:bCs/>
          <w:lang w:val="en-GB"/>
        </w:rPr>
        <w:t xml:space="preserve">passes mDCI-based SDM tests, UE can skip sDCI-based FDM Scheme A. </w:t>
      </w:r>
    </w:p>
    <w:p w14:paraId="3B584F2E" w14:textId="77777777" w:rsidR="00E90A0A" w:rsidRDefault="00E90A0A" w:rsidP="00E90A0A">
      <w:pPr>
        <w:rPr>
          <w:lang w:val="en-GB"/>
        </w:rPr>
      </w:pPr>
      <w:r>
        <w:rPr>
          <w:lang w:val="en-GB"/>
        </w:rPr>
        <w:t xml:space="preserve">Our motivation to define PDSCH demodulation requirements with SDM scheme A is for UEs without capability of CORESETPoolIndex. Since PDSCH demodulation requirements with mDCI-based SDM scheme uses the metric as the 70% of the maximum throughput, we propose to use the same metric as sDCI-based FDM Scheme A.  </w:t>
      </w:r>
    </w:p>
    <w:p w14:paraId="45E2712D" w14:textId="643D6A02" w:rsidR="00E90A0A" w:rsidRDefault="00E90A0A" w:rsidP="00E90A0A">
      <w:pPr>
        <w:rPr>
          <w:b/>
          <w:bCs/>
          <w:lang w:val="en-GB"/>
        </w:rPr>
      </w:pPr>
      <w:r w:rsidRPr="00AF345A">
        <w:rPr>
          <w:b/>
          <w:bCs/>
          <w:lang w:val="en-GB"/>
        </w:rPr>
        <w:t>Proposal</w:t>
      </w:r>
      <w:r>
        <w:rPr>
          <w:b/>
          <w:bCs/>
          <w:lang w:val="en-GB"/>
        </w:rPr>
        <w:t>:</w:t>
      </w:r>
      <w:r w:rsidRPr="00AF345A">
        <w:rPr>
          <w:b/>
          <w:bCs/>
          <w:lang w:val="en-GB"/>
        </w:rPr>
        <w:t xml:space="preserve"> RAN4 </w:t>
      </w:r>
      <w:r>
        <w:rPr>
          <w:b/>
          <w:bCs/>
          <w:lang w:val="en-GB"/>
        </w:rPr>
        <w:t xml:space="preserve">uses the 70% of maximum throughput as the test metric of PDSCH demodulation </w:t>
      </w:r>
      <w:r>
        <w:rPr>
          <w:b/>
          <w:bCs/>
          <w:lang w:val="en-GB"/>
        </w:rPr>
        <w:lastRenderedPageBreak/>
        <w:t xml:space="preserve">requirements for single-DCI based multi-TRP transmission. </w:t>
      </w:r>
    </w:p>
    <w:p w14:paraId="1B1CA08B" w14:textId="77777777" w:rsidR="00E90A0A" w:rsidRPr="005658D3" w:rsidRDefault="00E90A0A" w:rsidP="00E90A0A">
      <w:pPr>
        <w:rPr>
          <w:lang w:val="en-GB"/>
        </w:rPr>
      </w:pPr>
    </w:p>
    <w:p w14:paraId="3447BC21" w14:textId="77777777" w:rsidR="00E90A0A" w:rsidRPr="009538C1" w:rsidRDefault="00E90A0A" w:rsidP="00E90A0A">
      <w:pPr>
        <w:rPr>
          <w:lang w:val="en-GB"/>
        </w:rPr>
      </w:pPr>
      <w:r w:rsidRPr="009538C1">
        <w:rPr>
          <w:u w:val="single"/>
          <w:lang w:val="en-GB"/>
        </w:rPr>
        <w:t>TDM Schemes</w:t>
      </w:r>
    </w:p>
    <w:p w14:paraId="3F090A57" w14:textId="15341DAD" w:rsidR="00E90A0A" w:rsidRPr="00D7203C" w:rsidRDefault="00E90A0A" w:rsidP="00E90A0A">
      <w:pPr>
        <w:rPr>
          <w:lang w:val="en-GB"/>
        </w:rPr>
      </w:pPr>
      <w:r w:rsidRPr="005E62AD">
        <w:rPr>
          <w:lang w:val="en-GB"/>
        </w:rPr>
        <w:t xml:space="preserve">Single-DCI based TDM </w:t>
      </w:r>
      <w:r>
        <w:rPr>
          <w:lang w:val="en-GB"/>
        </w:rPr>
        <w:t xml:space="preserve">schemes are in principle same as slot aggregation discussed in eURLLC WI although the difference is eMIMO assumes two TRP transmission but eURLLC assumes single TRP transmission. Since eURLLC performance part has already agreed to define Type A PDSCH demodulation requirements with aggregation level 2, we think RAN4 does not need to define the PDSCH requirements with </w:t>
      </w:r>
      <w:r w:rsidR="00F11F90">
        <w:rPr>
          <w:lang w:val="en-GB"/>
        </w:rPr>
        <w:t xml:space="preserve">sDCI-based </w:t>
      </w:r>
      <w:r>
        <w:rPr>
          <w:lang w:val="en-GB"/>
        </w:rPr>
        <w:t>TDM scheme</w:t>
      </w:r>
      <w:r w:rsidR="00F11F90">
        <w:rPr>
          <w:lang w:val="en-GB"/>
        </w:rPr>
        <w:t xml:space="preserve"> in eMIMO WI. </w:t>
      </w:r>
    </w:p>
    <w:p w14:paraId="0616D8D9" w14:textId="77777777" w:rsidR="00E90A0A" w:rsidRPr="00F30B0A" w:rsidRDefault="00E90A0A" w:rsidP="00F30B0A">
      <w:pPr>
        <w:rPr>
          <w:lang w:val="en-GB"/>
        </w:rPr>
      </w:pPr>
    </w:p>
    <w:p w14:paraId="6FD10261" w14:textId="1F5F5A53" w:rsidR="002B1023" w:rsidRDefault="00F30B0A" w:rsidP="00EB514D">
      <w:pPr>
        <w:pStyle w:val="Heading1"/>
      </w:pPr>
      <w:r>
        <w:t>5</w:t>
      </w:r>
      <w:r w:rsidR="00886BA4">
        <w:tab/>
        <w:t>Summary</w:t>
      </w:r>
    </w:p>
    <w:p w14:paraId="4832F021" w14:textId="21C9C5A1" w:rsidR="00AB5C91" w:rsidRPr="00483363" w:rsidRDefault="00AB5C91" w:rsidP="00AB5C91">
      <w:pPr>
        <w:rPr>
          <w:b/>
          <w:bCs/>
        </w:rPr>
      </w:pPr>
      <w:r w:rsidRPr="00483363">
        <w:rPr>
          <w:b/>
          <w:bCs/>
        </w:rPr>
        <w:t>Observation</w:t>
      </w:r>
      <w:r w:rsidR="004152BF">
        <w:rPr>
          <w:b/>
          <w:bCs/>
        </w:rPr>
        <w:t xml:space="preserve"> 1</w:t>
      </w:r>
      <w:r w:rsidRPr="00483363">
        <w:rPr>
          <w:b/>
          <w:bCs/>
        </w:rPr>
        <w:t xml:space="preserve">: No performance </w:t>
      </w:r>
      <w:r>
        <w:rPr>
          <w:b/>
          <w:bCs/>
        </w:rPr>
        <w:t>degradation</w:t>
      </w:r>
      <w:r w:rsidRPr="00483363">
        <w:rPr>
          <w:b/>
          <w:bCs/>
        </w:rPr>
        <w:t xml:space="preserve"> for both mDCI-based FDM (SDM with non-overlapped) and sDCI-based SDM </w:t>
      </w:r>
      <w:r>
        <w:rPr>
          <w:b/>
          <w:bCs/>
        </w:rPr>
        <w:t>due to</w:t>
      </w:r>
      <w:r w:rsidRPr="00483363">
        <w:rPr>
          <w:b/>
          <w:bCs/>
        </w:rPr>
        <w:t xml:space="preserve"> the frequency offset. </w:t>
      </w:r>
    </w:p>
    <w:p w14:paraId="48557090" w14:textId="04AB9D57" w:rsidR="004E7DB6" w:rsidRPr="00D3349E" w:rsidRDefault="004E7DB6" w:rsidP="004E7DB6">
      <w:pPr>
        <w:rPr>
          <w:b/>
          <w:bCs/>
        </w:rPr>
      </w:pPr>
      <w:r w:rsidRPr="004F7333">
        <w:rPr>
          <w:b/>
          <w:bCs/>
        </w:rPr>
        <w:t>Observation</w:t>
      </w:r>
      <w:r>
        <w:rPr>
          <w:b/>
          <w:bCs/>
        </w:rPr>
        <w:t xml:space="preserve"> 2</w:t>
      </w:r>
      <w:r w:rsidRPr="004F7333">
        <w:rPr>
          <w:b/>
          <w:bCs/>
        </w:rPr>
        <w:t>: Significant performance impact for both mDCI-based FDM (SDM with non-overlapped) and sDCI-based SDM due to the large</w:t>
      </w:r>
      <w:r>
        <w:rPr>
          <w:b/>
          <w:bCs/>
        </w:rPr>
        <w:t>r</w:t>
      </w:r>
      <w:r w:rsidRPr="004F7333">
        <w:rPr>
          <w:b/>
          <w:bCs/>
        </w:rPr>
        <w:t xml:space="preserve"> negative time offset. </w:t>
      </w:r>
    </w:p>
    <w:p w14:paraId="2985DE04" w14:textId="77777777" w:rsidR="00BE4628" w:rsidRPr="00A619EE" w:rsidRDefault="00BE4628" w:rsidP="00BE4628">
      <w:pPr>
        <w:rPr>
          <w:b/>
          <w:bCs/>
        </w:rPr>
      </w:pPr>
      <w:r w:rsidRPr="00A619EE">
        <w:rPr>
          <w:b/>
          <w:bCs/>
        </w:rPr>
        <w:t>Proposal</w:t>
      </w:r>
      <w:r>
        <w:rPr>
          <w:b/>
          <w:bCs/>
        </w:rPr>
        <w:t xml:space="preserve"> 1</w:t>
      </w:r>
      <w:r w:rsidRPr="00A619EE">
        <w:rPr>
          <w:b/>
          <w:bCs/>
        </w:rPr>
        <w:t xml:space="preserve">: </w:t>
      </w:r>
      <w:r>
        <w:rPr>
          <w:b/>
          <w:bCs/>
        </w:rPr>
        <w:t>UE r</w:t>
      </w:r>
      <w:r w:rsidRPr="00A619EE">
        <w:rPr>
          <w:b/>
          <w:bCs/>
        </w:rPr>
        <w:t xml:space="preserve">eceiver </w:t>
      </w:r>
      <w:r>
        <w:rPr>
          <w:b/>
          <w:bCs/>
        </w:rPr>
        <w:t xml:space="preserve">for multi-TRP PDSCH demodulation requirements </w:t>
      </w:r>
      <w:r w:rsidRPr="00A619EE">
        <w:rPr>
          <w:b/>
          <w:bCs/>
        </w:rPr>
        <w:t>is up to UE implementation</w:t>
      </w:r>
      <w:r>
        <w:rPr>
          <w:b/>
          <w:bCs/>
        </w:rPr>
        <w:t>.</w:t>
      </w:r>
      <w:r w:rsidRPr="00A619EE">
        <w:rPr>
          <w:b/>
          <w:bCs/>
        </w:rPr>
        <w:t xml:space="preserve"> </w:t>
      </w:r>
      <w:r>
        <w:rPr>
          <w:b/>
          <w:bCs/>
        </w:rPr>
        <w:t xml:space="preserve">For alignment purpose, </w:t>
      </w:r>
      <w:r w:rsidRPr="00A619EE">
        <w:rPr>
          <w:b/>
          <w:bCs/>
        </w:rPr>
        <w:t xml:space="preserve">RAN4 </w:t>
      </w:r>
      <w:r>
        <w:rPr>
          <w:b/>
          <w:bCs/>
        </w:rPr>
        <w:t>should</w:t>
      </w:r>
      <w:r w:rsidRPr="00A619EE">
        <w:rPr>
          <w:b/>
          <w:bCs/>
        </w:rPr>
        <w:t xml:space="preserve"> assume </w:t>
      </w:r>
      <w:r>
        <w:rPr>
          <w:b/>
          <w:bCs/>
        </w:rPr>
        <w:t xml:space="preserve">that </w:t>
      </w:r>
      <w:r w:rsidRPr="00A619EE">
        <w:rPr>
          <w:b/>
          <w:bCs/>
        </w:rPr>
        <w:t xml:space="preserve">UE always </w:t>
      </w:r>
      <w:r>
        <w:rPr>
          <w:b/>
          <w:bCs/>
        </w:rPr>
        <w:t>sets the</w:t>
      </w:r>
      <w:r w:rsidRPr="00A619EE">
        <w:rPr>
          <w:b/>
          <w:bCs/>
        </w:rPr>
        <w:t xml:space="preserve"> FFT timing based on TCI state #0 (TRP1)</w:t>
      </w:r>
      <w:r>
        <w:rPr>
          <w:b/>
          <w:bCs/>
        </w:rPr>
        <w:t xml:space="preserve">. </w:t>
      </w:r>
    </w:p>
    <w:p w14:paraId="3567BC96" w14:textId="4485B670" w:rsidR="00F64D62" w:rsidRPr="00853D5A" w:rsidRDefault="00BE4628" w:rsidP="00F64D62">
      <w:pPr>
        <w:rPr>
          <w:b/>
          <w:bCs/>
        </w:rPr>
      </w:pPr>
      <w:r>
        <w:t>​</w:t>
      </w:r>
      <w:r w:rsidR="00F64D62" w:rsidRPr="00853D5A">
        <w:rPr>
          <w:b/>
          <w:bCs/>
        </w:rPr>
        <w:t>Proposal</w:t>
      </w:r>
      <w:r w:rsidR="00F64D62">
        <w:rPr>
          <w:b/>
          <w:bCs/>
        </w:rPr>
        <w:t xml:space="preserve"> 2</w:t>
      </w:r>
      <w:r w:rsidR="00F64D62" w:rsidRPr="00853D5A">
        <w:rPr>
          <w:b/>
          <w:bCs/>
        </w:rPr>
        <w:t>: Set timing offset to the value in the range Δt=2</w:t>
      </w:r>
      <w:r w:rsidR="00F64D62" w:rsidRPr="00853D5A">
        <w:rPr>
          <w:b/>
          <w:bCs/>
          <w:vertAlign w:val="superscript"/>
        </w:rPr>
        <w:t>-μ</w:t>
      </w:r>
      <w:r w:rsidR="00F64D62" w:rsidRPr="00853D5A">
        <w:rPr>
          <w:b/>
          <w:bCs/>
        </w:rPr>
        <w:t>Δt</w:t>
      </w:r>
      <w:r w:rsidR="00F64D62" w:rsidRPr="00853D5A">
        <w:rPr>
          <w:b/>
          <w:bCs/>
          <w:vertAlign w:val="subscript"/>
        </w:rPr>
        <w:t>1</w:t>
      </w:r>
      <w:r w:rsidR="00F64D62">
        <w:rPr>
          <w:b/>
          <w:bCs/>
        </w:rPr>
        <w:t xml:space="preserve"> with </w:t>
      </w:r>
      <w:r w:rsidR="00F64D62" w:rsidRPr="00853D5A">
        <w:rPr>
          <w:b/>
          <w:bCs/>
        </w:rPr>
        <w:t>Δt</w:t>
      </w:r>
      <w:r w:rsidR="00F64D62" w:rsidRPr="00853D5A">
        <w:rPr>
          <w:b/>
          <w:bCs/>
          <w:vertAlign w:val="subscript"/>
        </w:rPr>
        <w:t>1</w:t>
      </w:r>
      <w:r w:rsidR="00F64D62" w:rsidRPr="00853D5A">
        <w:rPr>
          <w:b/>
          <w:bCs/>
        </w:rPr>
        <w:t xml:space="preserve"> = [-0.5, 2] μs. </w:t>
      </w:r>
    </w:p>
    <w:p w14:paraId="69FB42AF" w14:textId="77777777" w:rsidR="00F104DD" w:rsidRPr="00A078CC" w:rsidRDefault="00F104DD" w:rsidP="00F104DD">
      <w:pPr>
        <w:rPr>
          <w:b/>
          <w:bCs/>
        </w:rPr>
      </w:pPr>
      <w:r>
        <w:rPr>
          <w:b/>
          <w:bCs/>
        </w:rPr>
        <w:t xml:space="preserve">Proposal 3: TRS from different TRP should be non-collided. The signals/channels from all the TRPs should use the same Cell ID. </w:t>
      </w:r>
    </w:p>
    <w:p w14:paraId="2818F34D" w14:textId="6779D94C" w:rsidR="00EB514D" w:rsidRDefault="008424A7" w:rsidP="00BE4628">
      <w:pPr>
        <w:rPr>
          <w:b/>
          <w:bCs/>
        </w:rPr>
      </w:pPr>
      <w:r w:rsidRPr="002C711B">
        <w:rPr>
          <w:b/>
          <w:bCs/>
        </w:rPr>
        <w:t>Proposal</w:t>
      </w:r>
      <w:r>
        <w:rPr>
          <w:b/>
          <w:bCs/>
        </w:rPr>
        <w:t xml:space="preserve"> 4</w:t>
      </w:r>
      <w:r w:rsidRPr="002C711B">
        <w:rPr>
          <w:b/>
          <w:bCs/>
        </w:rPr>
        <w:t>: Configure 2T2R and 2T4R per TRP for multi-TRP PDSCH demodulation requirements.</w:t>
      </w:r>
    </w:p>
    <w:p w14:paraId="4F76884F" w14:textId="77777777" w:rsidR="008424A7" w:rsidRPr="002E1781" w:rsidRDefault="008424A7" w:rsidP="008424A7">
      <w:pPr>
        <w:rPr>
          <w:b/>
          <w:bCs/>
        </w:rPr>
      </w:pPr>
      <w:r w:rsidRPr="002E1781">
        <w:rPr>
          <w:b/>
          <w:bCs/>
        </w:rPr>
        <w:t>Proposal</w:t>
      </w:r>
      <w:r>
        <w:rPr>
          <w:b/>
          <w:bCs/>
        </w:rPr>
        <w:t xml:space="preserve"> 5</w:t>
      </w:r>
      <w:r w:rsidRPr="002E1781">
        <w:rPr>
          <w:b/>
          <w:bCs/>
        </w:rPr>
        <w:t>: For frequency offset and timing offset:</w:t>
      </w:r>
    </w:p>
    <w:p w14:paraId="115812C6" w14:textId="77777777" w:rsidR="008424A7" w:rsidRPr="002E1781" w:rsidRDefault="008424A7" w:rsidP="008424A7">
      <w:pPr>
        <w:pStyle w:val="ListParagraph"/>
        <w:numPr>
          <w:ilvl w:val="0"/>
          <w:numId w:val="30"/>
        </w:numPr>
        <w:rPr>
          <w:b/>
          <w:bCs/>
        </w:rPr>
      </w:pPr>
      <w:r w:rsidRPr="002E1781">
        <w:rPr>
          <w:b/>
          <w:bCs/>
        </w:rPr>
        <w:t>Set frequency offset (200Hz</w:t>
      </w:r>
      <w:r>
        <w:rPr>
          <w:b/>
          <w:bCs/>
        </w:rPr>
        <w:t xml:space="preserve"> for FDD and 300kHz for TDD</w:t>
      </w:r>
      <w:r w:rsidRPr="002E1781">
        <w:rPr>
          <w:b/>
          <w:bCs/>
        </w:rPr>
        <w:t>) and positive time offset (2us</w:t>
      </w:r>
      <w:r>
        <w:rPr>
          <w:b/>
          <w:bCs/>
        </w:rPr>
        <w:t xml:space="preserve"> for FDD SCS=15kHz and 1us for TDD SCS=30kHz</w:t>
      </w:r>
      <w:r w:rsidRPr="002E1781">
        <w:rPr>
          <w:b/>
          <w:bCs/>
        </w:rPr>
        <w:t>) for mDCI-based SD</w:t>
      </w:r>
      <w:r>
        <w:rPr>
          <w:b/>
          <w:bCs/>
        </w:rPr>
        <w:t xml:space="preserve">M. </w:t>
      </w:r>
    </w:p>
    <w:p w14:paraId="7AD4E1C2" w14:textId="4BA71D73" w:rsidR="008424A7" w:rsidRDefault="008424A7" w:rsidP="008424A7">
      <w:pPr>
        <w:pStyle w:val="ListParagraph"/>
        <w:numPr>
          <w:ilvl w:val="0"/>
          <w:numId w:val="30"/>
        </w:numPr>
      </w:pPr>
      <w:r w:rsidRPr="002E1781">
        <w:rPr>
          <w:b/>
          <w:bCs/>
        </w:rPr>
        <w:t>Set frequency offset (200Hz</w:t>
      </w:r>
      <w:r>
        <w:rPr>
          <w:b/>
          <w:bCs/>
        </w:rPr>
        <w:t xml:space="preserve"> for FDD and 300kHz for TDD</w:t>
      </w:r>
      <w:r w:rsidRPr="002E1781">
        <w:rPr>
          <w:b/>
          <w:bCs/>
        </w:rPr>
        <w:t>) and negative time offset (-</w:t>
      </w:r>
      <w:r>
        <w:rPr>
          <w:b/>
          <w:bCs/>
        </w:rPr>
        <w:t>0.5</w:t>
      </w:r>
      <w:r w:rsidRPr="002E1781">
        <w:rPr>
          <w:b/>
          <w:bCs/>
        </w:rPr>
        <w:t>us</w:t>
      </w:r>
      <w:r>
        <w:rPr>
          <w:b/>
          <w:bCs/>
        </w:rPr>
        <w:t xml:space="preserve"> for FDD SCS=15kHz and -0.25us for SCS=30kHz</w:t>
      </w:r>
      <w:r w:rsidRPr="002E1781">
        <w:rPr>
          <w:b/>
          <w:bCs/>
        </w:rPr>
        <w:t>) for sDCI-based SDM</w:t>
      </w:r>
      <w:r w:rsidR="00767B11">
        <w:rPr>
          <w:b/>
          <w:bCs/>
        </w:rPr>
        <w:t>.</w:t>
      </w:r>
    </w:p>
    <w:p w14:paraId="4239B7E1" w14:textId="303AFA34" w:rsidR="00946D75" w:rsidRDefault="00946D75" w:rsidP="00946D75">
      <w:pPr>
        <w:rPr>
          <w:b/>
          <w:bCs/>
        </w:rPr>
      </w:pPr>
      <w:r w:rsidRPr="00946D75">
        <w:rPr>
          <w:b/>
          <w:bCs/>
        </w:rPr>
        <w:t>Proposal 6: Not to introduce test case(s) for multi-panel/TRP transmission schemes in FR2</w:t>
      </w:r>
      <w:r>
        <w:rPr>
          <w:b/>
          <w:bCs/>
        </w:rPr>
        <w:t>.</w:t>
      </w:r>
    </w:p>
    <w:p w14:paraId="40DFFE32" w14:textId="77777777" w:rsidR="00CD6D83" w:rsidRPr="00D56DC5" w:rsidRDefault="00CD6D83" w:rsidP="00CD6D83">
      <w:pPr>
        <w:rPr>
          <w:b/>
          <w:bCs/>
          <w:lang w:val="en-GB"/>
        </w:rPr>
      </w:pPr>
      <w:r w:rsidRPr="00D56DC5">
        <w:rPr>
          <w:b/>
          <w:bCs/>
          <w:lang w:val="en-GB"/>
        </w:rPr>
        <w:t>Proposal</w:t>
      </w:r>
      <w:r>
        <w:rPr>
          <w:b/>
          <w:bCs/>
          <w:lang w:val="en-GB"/>
        </w:rPr>
        <w:t xml:space="preserve"> 7</w:t>
      </w:r>
      <w:r w:rsidRPr="00D56DC5">
        <w:rPr>
          <w:b/>
          <w:bCs/>
          <w:lang w:val="en-GB"/>
        </w:rPr>
        <w:t>: RAN4 define</w:t>
      </w:r>
      <w:r>
        <w:rPr>
          <w:b/>
          <w:bCs/>
          <w:lang w:val="en-GB"/>
        </w:rPr>
        <w:t>s</w:t>
      </w:r>
      <w:r w:rsidRPr="00D56DC5">
        <w:rPr>
          <w:b/>
          <w:bCs/>
          <w:lang w:val="en-GB"/>
        </w:rPr>
        <w:t xml:space="preserve"> PDSCH demodulation requirements </w:t>
      </w:r>
      <w:r>
        <w:rPr>
          <w:b/>
          <w:bCs/>
          <w:lang w:val="en-GB"/>
        </w:rPr>
        <w:t>for</w:t>
      </w:r>
      <w:r w:rsidRPr="00D56DC5">
        <w:rPr>
          <w:b/>
          <w:bCs/>
          <w:lang w:val="en-GB"/>
        </w:rPr>
        <w:t xml:space="preserve"> </w:t>
      </w:r>
      <w:r>
        <w:rPr>
          <w:b/>
          <w:bCs/>
          <w:lang w:val="en-GB"/>
        </w:rPr>
        <w:t>s</w:t>
      </w:r>
      <w:r w:rsidRPr="007C22A9">
        <w:rPr>
          <w:b/>
          <w:bCs/>
          <w:lang w:val="en-GB"/>
        </w:rPr>
        <w:t>DCI</w:t>
      </w:r>
      <w:r>
        <w:rPr>
          <w:b/>
          <w:bCs/>
          <w:lang w:val="en-GB"/>
        </w:rPr>
        <w:t>-</w:t>
      </w:r>
      <w:r w:rsidRPr="007C22A9">
        <w:rPr>
          <w:b/>
          <w:bCs/>
          <w:lang w:val="en-GB"/>
        </w:rPr>
        <w:t>based FDM Scheme A</w:t>
      </w:r>
      <w:r w:rsidRPr="00D56DC5">
        <w:rPr>
          <w:b/>
          <w:bCs/>
          <w:lang w:val="en-GB"/>
        </w:rPr>
        <w:t>.</w:t>
      </w:r>
    </w:p>
    <w:p w14:paraId="6C278DD1" w14:textId="77777777" w:rsidR="00CD6D83" w:rsidRPr="007C4A67" w:rsidRDefault="00CD6D83" w:rsidP="00CD6D83">
      <w:pPr>
        <w:rPr>
          <w:b/>
          <w:bCs/>
          <w:lang w:val="en-GB"/>
        </w:rPr>
      </w:pPr>
      <w:r w:rsidRPr="007C4A67">
        <w:rPr>
          <w:b/>
          <w:bCs/>
          <w:lang w:val="en-GB"/>
        </w:rPr>
        <w:t>Proposal</w:t>
      </w:r>
      <w:r>
        <w:rPr>
          <w:b/>
          <w:bCs/>
          <w:lang w:val="en-GB"/>
        </w:rPr>
        <w:t xml:space="preserve"> 8</w:t>
      </w:r>
      <w:r w:rsidRPr="007C4A67">
        <w:rPr>
          <w:b/>
          <w:bCs/>
          <w:lang w:val="en-GB"/>
        </w:rPr>
        <w:t xml:space="preserve">: If UE </w:t>
      </w:r>
      <w:r>
        <w:rPr>
          <w:b/>
          <w:bCs/>
          <w:lang w:val="en-GB"/>
        </w:rPr>
        <w:t xml:space="preserve">is capable of two CORESTPoolIndex reception and </w:t>
      </w:r>
      <w:r w:rsidRPr="007C4A67">
        <w:rPr>
          <w:b/>
          <w:bCs/>
          <w:lang w:val="en-GB"/>
        </w:rPr>
        <w:t xml:space="preserve">passes mDCI-based SDM tests, UE can skip sDCI-based FDM Scheme A. </w:t>
      </w:r>
    </w:p>
    <w:p w14:paraId="5CEC006D" w14:textId="77777777" w:rsidR="00CD6D83" w:rsidRDefault="00CD6D83" w:rsidP="00CD6D83">
      <w:pPr>
        <w:rPr>
          <w:b/>
          <w:bCs/>
          <w:lang w:val="en-GB"/>
        </w:rPr>
      </w:pPr>
      <w:r w:rsidRPr="00AF345A">
        <w:rPr>
          <w:b/>
          <w:bCs/>
          <w:lang w:val="en-GB"/>
        </w:rPr>
        <w:t>Proposal</w:t>
      </w:r>
      <w:r>
        <w:rPr>
          <w:b/>
          <w:bCs/>
          <w:lang w:val="en-GB"/>
        </w:rPr>
        <w:t>:</w:t>
      </w:r>
      <w:r w:rsidRPr="00AF345A">
        <w:rPr>
          <w:b/>
          <w:bCs/>
          <w:lang w:val="en-GB"/>
        </w:rPr>
        <w:t xml:space="preserve"> RAN4 </w:t>
      </w:r>
      <w:r>
        <w:rPr>
          <w:b/>
          <w:bCs/>
          <w:lang w:val="en-GB"/>
        </w:rPr>
        <w:t xml:space="preserve">uses the 70% of maximum throughput as the test metric of PDSCH demodulation requirements for single-DCI based multi-TRP transmission. </w:t>
      </w:r>
    </w:p>
    <w:p w14:paraId="390ECC25" w14:textId="6E5E5020" w:rsidR="005A782E" w:rsidRPr="0047271C" w:rsidRDefault="005A782E" w:rsidP="005A782E">
      <w:pPr>
        <w:pStyle w:val="Heading1"/>
        <w:rPr>
          <w:lang w:val="en-US"/>
        </w:rPr>
      </w:pPr>
      <w:bookmarkStart w:id="7" w:name="_GoBack"/>
      <w:bookmarkEnd w:id="7"/>
      <w:r w:rsidRPr="0047271C">
        <w:rPr>
          <w:lang w:val="en-US"/>
        </w:rPr>
        <w:t>References</w:t>
      </w:r>
    </w:p>
    <w:p w14:paraId="0111FFF8" w14:textId="4300DACB" w:rsidR="00ED4F54" w:rsidRDefault="00261D96" w:rsidP="00736285">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8" w:name="_Ref3386619"/>
      <w:bookmarkStart w:id="9" w:name="_Ref32009325"/>
      <w:bookmarkStart w:id="10" w:name="_Ref36834805"/>
      <w:r w:rsidRPr="0047271C">
        <w:t>R</w:t>
      </w:r>
      <w:bookmarkEnd w:id="8"/>
      <w:bookmarkEnd w:id="9"/>
      <w:r w:rsidR="004C277B" w:rsidRPr="0047271C">
        <w:t>4-20</w:t>
      </w:r>
      <w:r w:rsidR="00DD21D0">
        <w:t>08803</w:t>
      </w:r>
      <w:r w:rsidR="00ED4F54" w:rsidRPr="0047271C">
        <w:t>, “</w:t>
      </w:r>
      <w:r w:rsidR="00220963" w:rsidRPr="00220963">
        <w:t>Way forward for general and PDSCH requirements with Single-DCI SDM scheme and Multi-DCI transmission schemes(eMBB)​</w:t>
      </w:r>
      <w:r w:rsidR="00ED4F54" w:rsidRPr="0047271C">
        <w:t xml:space="preserve">”, </w:t>
      </w:r>
      <w:r w:rsidR="00220963">
        <w:t>Huawei, HiSilicon</w:t>
      </w:r>
      <w:r w:rsidR="00ED4F54" w:rsidRPr="0047271C">
        <w:t>.</w:t>
      </w:r>
      <w:bookmarkEnd w:id="10"/>
    </w:p>
    <w:p w14:paraId="5704DA17" w14:textId="4679A7DD" w:rsidR="00CA61AB" w:rsidRDefault="00220963" w:rsidP="004C277B">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1" w:name="_Ref46334789"/>
      <w:r>
        <w:t>R4-2008805, “</w:t>
      </w:r>
      <w:r w:rsidR="00030C63" w:rsidRPr="00030C63">
        <w:t>Simulation assumption for PDSCH requirements with Single-DCI SDM scheme and Multi-</w:t>
      </w:r>
      <w:r w:rsidR="00030C63" w:rsidRPr="00030C63">
        <w:lastRenderedPageBreak/>
        <w:t>DCI transmission schemes</w:t>
      </w:r>
      <w:r w:rsidR="00030C63">
        <w:t>”, Ericsson.</w:t>
      </w:r>
      <w:bookmarkEnd w:id="11"/>
      <w:r w:rsidR="00030C63">
        <w:t xml:space="preserve"> </w:t>
      </w:r>
    </w:p>
    <w:p w14:paraId="4429A932" w14:textId="464EE709" w:rsidR="009B147A" w:rsidRPr="0047271C" w:rsidRDefault="009B147A" w:rsidP="009B147A">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2" w:name="_Ref47426102"/>
      <w:r w:rsidRPr="003C7E1F">
        <w:t>R</w:t>
      </w:r>
      <w:r>
        <w:t>4-2008814, “</w:t>
      </w:r>
      <w:r w:rsidRPr="007D4230">
        <w:t>Way forward for PDSCH requirements with Single-DCI based multi-TRP/Panel transmission schemes (URLLC)​</w:t>
      </w:r>
      <w:r>
        <w:t>”, Intel.</w:t>
      </w:r>
      <w:bookmarkEnd w:id="12"/>
    </w:p>
    <w:p w14:paraId="48EAEFD4" w14:textId="62AEF12A" w:rsidR="00B51484" w:rsidRPr="0047271C" w:rsidRDefault="00B51484" w:rsidP="00B51484">
      <w:pPr>
        <w:overflowPunct w:val="0"/>
        <w:autoSpaceDE w:val="0"/>
        <w:autoSpaceDN w:val="0"/>
        <w:adjustRightInd w:val="0"/>
        <w:spacing w:after="180" w:line="240" w:lineRule="auto"/>
        <w:contextualSpacing/>
        <w:textAlignment w:val="baseline"/>
      </w:pPr>
    </w:p>
    <w:sectPr w:rsidR="00B51484" w:rsidRPr="0047271C" w:rsidSect="006D5754">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29D6F" w14:textId="77777777" w:rsidR="00892753" w:rsidRDefault="00892753">
      <w:pPr>
        <w:spacing w:after="0"/>
      </w:pPr>
      <w:r>
        <w:separator/>
      </w:r>
    </w:p>
  </w:endnote>
  <w:endnote w:type="continuationSeparator" w:id="0">
    <w:p w14:paraId="59FAB379" w14:textId="77777777" w:rsidR="00892753" w:rsidRDefault="008927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892753" w:rsidRDefault="00892753">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892753" w:rsidRDefault="00892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CACD7" w14:textId="77777777" w:rsidR="00892753" w:rsidRDefault="00892753">
      <w:pPr>
        <w:spacing w:after="0"/>
      </w:pPr>
      <w:r>
        <w:separator/>
      </w:r>
    </w:p>
  </w:footnote>
  <w:footnote w:type="continuationSeparator" w:id="0">
    <w:p w14:paraId="0AF8857B" w14:textId="77777777" w:rsidR="00892753" w:rsidRDefault="008927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892753" w:rsidRDefault="0089275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E5503"/>
    <w:multiLevelType w:val="hybridMultilevel"/>
    <w:tmpl w:val="299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55BA1"/>
    <w:multiLevelType w:val="multilevel"/>
    <w:tmpl w:val="0DB65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1734CB"/>
    <w:multiLevelType w:val="hybridMultilevel"/>
    <w:tmpl w:val="2D32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600C99"/>
    <w:multiLevelType w:val="hybridMultilevel"/>
    <w:tmpl w:val="DE424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0498A"/>
    <w:multiLevelType w:val="hybridMultilevel"/>
    <w:tmpl w:val="F606E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9104E5"/>
    <w:multiLevelType w:val="hybridMultilevel"/>
    <w:tmpl w:val="D39A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FB05EA"/>
    <w:multiLevelType w:val="hybridMultilevel"/>
    <w:tmpl w:val="F028D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B51641"/>
    <w:multiLevelType w:val="hybridMultilevel"/>
    <w:tmpl w:val="EE863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C3E60"/>
    <w:multiLevelType w:val="hybridMultilevel"/>
    <w:tmpl w:val="5C5A8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80967"/>
    <w:multiLevelType w:val="hybridMultilevel"/>
    <w:tmpl w:val="EB16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A3285C"/>
    <w:multiLevelType w:val="multilevel"/>
    <w:tmpl w:val="0980B8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5D7E62"/>
    <w:multiLevelType w:val="hybridMultilevel"/>
    <w:tmpl w:val="BA9208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2B7E1C"/>
    <w:multiLevelType w:val="hybridMultilevel"/>
    <w:tmpl w:val="7DA49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8460E"/>
    <w:multiLevelType w:val="hybridMultilevel"/>
    <w:tmpl w:val="B75E0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5007D"/>
    <w:multiLevelType w:val="hybridMultilevel"/>
    <w:tmpl w:val="E780B7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E7B3205"/>
    <w:multiLevelType w:val="hybridMultilevel"/>
    <w:tmpl w:val="F004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C249A3"/>
    <w:multiLevelType w:val="hybridMultilevel"/>
    <w:tmpl w:val="5CCA2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B3F28"/>
    <w:multiLevelType w:val="hybridMultilevel"/>
    <w:tmpl w:val="BE42A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44540B95"/>
    <w:multiLevelType w:val="hybridMultilevel"/>
    <w:tmpl w:val="4614D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F233A0"/>
    <w:multiLevelType w:val="hybridMultilevel"/>
    <w:tmpl w:val="5D1C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215603"/>
    <w:multiLevelType w:val="hybridMultilevel"/>
    <w:tmpl w:val="F70C1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D1B72"/>
    <w:multiLevelType w:val="hybridMultilevel"/>
    <w:tmpl w:val="4F689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982610"/>
    <w:multiLevelType w:val="hybridMultilevel"/>
    <w:tmpl w:val="B7CA4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61AED"/>
    <w:multiLevelType w:val="hybridMultilevel"/>
    <w:tmpl w:val="62E8F9B8"/>
    <w:lvl w:ilvl="0" w:tplc="88E405AA">
      <w:start w:val="1"/>
      <w:numFmt w:val="bullet"/>
      <w:lvlText w:val="•"/>
      <w:lvlJc w:val="left"/>
      <w:pPr>
        <w:tabs>
          <w:tab w:val="num" w:pos="720"/>
        </w:tabs>
        <w:ind w:left="720" w:hanging="360"/>
      </w:pPr>
      <w:rPr>
        <w:rFonts w:ascii="Arial" w:hAnsi="Arial" w:hint="default"/>
      </w:rPr>
    </w:lvl>
    <w:lvl w:ilvl="1" w:tplc="8C40F3AE">
      <w:start w:val="1"/>
      <w:numFmt w:val="bullet"/>
      <w:lvlText w:val="•"/>
      <w:lvlJc w:val="left"/>
      <w:pPr>
        <w:tabs>
          <w:tab w:val="num" w:pos="1440"/>
        </w:tabs>
        <w:ind w:left="1440" w:hanging="360"/>
      </w:pPr>
      <w:rPr>
        <w:rFonts w:ascii="Arial" w:hAnsi="Arial" w:hint="default"/>
      </w:rPr>
    </w:lvl>
    <w:lvl w:ilvl="2" w:tplc="08585848" w:tentative="1">
      <w:start w:val="1"/>
      <w:numFmt w:val="bullet"/>
      <w:lvlText w:val="•"/>
      <w:lvlJc w:val="left"/>
      <w:pPr>
        <w:tabs>
          <w:tab w:val="num" w:pos="2160"/>
        </w:tabs>
        <w:ind w:left="2160" w:hanging="360"/>
      </w:pPr>
      <w:rPr>
        <w:rFonts w:ascii="Arial" w:hAnsi="Arial" w:hint="default"/>
      </w:rPr>
    </w:lvl>
    <w:lvl w:ilvl="3" w:tplc="2D4C1C6E" w:tentative="1">
      <w:start w:val="1"/>
      <w:numFmt w:val="bullet"/>
      <w:lvlText w:val="•"/>
      <w:lvlJc w:val="left"/>
      <w:pPr>
        <w:tabs>
          <w:tab w:val="num" w:pos="2880"/>
        </w:tabs>
        <w:ind w:left="2880" w:hanging="360"/>
      </w:pPr>
      <w:rPr>
        <w:rFonts w:ascii="Arial" w:hAnsi="Arial" w:hint="default"/>
      </w:rPr>
    </w:lvl>
    <w:lvl w:ilvl="4" w:tplc="05BC65AC" w:tentative="1">
      <w:start w:val="1"/>
      <w:numFmt w:val="bullet"/>
      <w:lvlText w:val="•"/>
      <w:lvlJc w:val="left"/>
      <w:pPr>
        <w:tabs>
          <w:tab w:val="num" w:pos="3600"/>
        </w:tabs>
        <w:ind w:left="3600" w:hanging="360"/>
      </w:pPr>
      <w:rPr>
        <w:rFonts w:ascii="Arial" w:hAnsi="Arial" w:hint="default"/>
      </w:rPr>
    </w:lvl>
    <w:lvl w:ilvl="5" w:tplc="0DB05C2A" w:tentative="1">
      <w:start w:val="1"/>
      <w:numFmt w:val="bullet"/>
      <w:lvlText w:val="•"/>
      <w:lvlJc w:val="left"/>
      <w:pPr>
        <w:tabs>
          <w:tab w:val="num" w:pos="4320"/>
        </w:tabs>
        <w:ind w:left="4320" w:hanging="360"/>
      </w:pPr>
      <w:rPr>
        <w:rFonts w:ascii="Arial" w:hAnsi="Arial" w:hint="default"/>
      </w:rPr>
    </w:lvl>
    <w:lvl w:ilvl="6" w:tplc="3EFCCAC8" w:tentative="1">
      <w:start w:val="1"/>
      <w:numFmt w:val="bullet"/>
      <w:lvlText w:val="•"/>
      <w:lvlJc w:val="left"/>
      <w:pPr>
        <w:tabs>
          <w:tab w:val="num" w:pos="5040"/>
        </w:tabs>
        <w:ind w:left="5040" w:hanging="360"/>
      </w:pPr>
      <w:rPr>
        <w:rFonts w:ascii="Arial" w:hAnsi="Arial" w:hint="default"/>
      </w:rPr>
    </w:lvl>
    <w:lvl w:ilvl="7" w:tplc="14FC59C0" w:tentative="1">
      <w:start w:val="1"/>
      <w:numFmt w:val="bullet"/>
      <w:lvlText w:val="•"/>
      <w:lvlJc w:val="left"/>
      <w:pPr>
        <w:tabs>
          <w:tab w:val="num" w:pos="5760"/>
        </w:tabs>
        <w:ind w:left="5760" w:hanging="360"/>
      </w:pPr>
      <w:rPr>
        <w:rFonts w:ascii="Arial" w:hAnsi="Arial" w:hint="default"/>
      </w:rPr>
    </w:lvl>
    <w:lvl w:ilvl="8" w:tplc="B1801DA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1F0EDF"/>
    <w:multiLevelType w:val="hybridMultilevel"/>
    <w:tmpl w:val="8C8C6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4775F0"/>
    <w:multiLevelType w:val="hybridMultilevel"/>
    <w:tmpl w:val="77BC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595870"/>
    <w:multiLevelType w:val="hybridMultilevel"/>
    <w:tmpl w:val="F7EC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B0A5A"/>
    <w:multiLevelType w:val="hybridMultilevel"/>
    <w:tmpl w:val="A92A2576"/>
    <w:lvl w:ilvl="0" w:tplc="AAC6EE20">
      <w:start w:val="1"/>
      <w:numFmt w:val="bullet"/>
      <w:lvlText w:val="•"/>
      <w:lvlJc w:val="left"/>
      <w:pPr>
        <w:tabs>
          <w:tab w:val="num" w:pos="720"/>
        </w:tabs>
        <w:ind w:left="720" w:hanging="360"/>
      </w:pPr>
      <w:rPr>
        <w:rFonts w:ascii="Arial" w:hAnsi="Arial" w:hint="default"/>
      </w:rPr>
    </w:lvl>
    <w:lvl w:ilvl="1" w:tplc="EC16B384">
      <w:numFmt w:val="bullet"/>
      <w:lvlText w:val="–"/>
      <w:lvlJc w:val="left"/>
      <w:pPr>
        <w:tabs>
          <w:tab w:val="num" w:pos="1440"/>
        </w:tabs>
        <w:ind w:left="1440" w:hanging="360"/>
      </w:pPr>
      <w:rPr>
        <w:rFonts w:ascii="Arial" w:hAnsi="Arial" w:hint="default"/>
      </w:rPr>
    </w:lvl>
    <w:lvl w:ilvl="2" w:tplc="5192B87A" w:tentative="1">
      <w:start w:val="1"/>
      <w:numFmt w:val="bullet"/>
      <w:lvlText w:val="•"/>
      <w:lvlJc w:val="left"/>
      <w:pPr>
        <w:tabs>
          <w:tab w:val="num" w:pos="2160"/>
        </w:tabs>
        <w:ind w:left="2160" w:hanging="360"/>
      </w:pPr>
      <w:rPr>
        <w:rFonts w:ascii="Arial" w:hAnsi="Arial" w:hint="default"/>
      </w:rPr>
    </w:lvl>
    <w:lvl w:ilvl="3" w:tplc="A600D132" w:tentative="1">
      <w:start w:val="1"/>
      <w:numFmt w:val="bullet"/>
      <w:lvlText w:val="•"/>
      <w:lvlJc w:val="left"/>
      <w:pPr>
        <w:tabs>
          <w:tab w:val="num" w:pos="2880"/>
        </w:tabs>
        <w:ind w:left="2880" w:hanging="360"/>
      </w:pPr>
      <w:rPr>
        <w:rFonts w:ascii="Arial" w:hAnsi="Arial" w:hint="default"/>
      </w:rPr>
    </w:lvl>
    <w:lvl w:ilvl="4" w:tplc="1F186142" w:tentative="1">
      <w:start w:val="1"/>
      <w:numFmt w:val="bullet"/>
      <w:lvlText w:val="•"/>
      <w:lvlJc w:val="left"/>
      <w:pPr>
        <w:tabs>
          <w:tab w:val="num" w:pos="3600"/>
        </w:tabs>
        <w:ind w:left="3600" w:hanging="360"/>
      </w:pPr>
      <w:rPr>
        <w:rFonts w:ascii="Arial" w:hAnsi="Arial" w:hint="default"/>
      </w:rPr>
    </w:lvl>
    <w:lvl w:ilvl="5" w:tplc="793C7960" w:tentative="1">
      <w:start w:val="1"/>
      <w:numFmt w:val="bullet"/>
      <w:lvlText w:val="•"/>
      <w:lvlJc w:val="left"/>
      <w:pPr>
        <w:tabs>
          <w:tab w:val="num" w:pos="4320"/>
        </w:tabs>
        <w:ind w:left="4320" w:hanging="360"/>
      </w:pPr>
      <w:rPr>
        <w:rFonts w:ascii="Arial" w:hAnsi="Arial" w:hint="default"/>
      </w:rPr>
    </w:lvl>
    <w:lvl w:ilvl="6" w:tplc="DAC2DCFC" w:tentative="1">
      <w:start w:val="1"/>
      <w:numFmt w:val="bullet"/>
      <w:lvlText w:val="•"/>
      <w:lvlJc w:val="left"/>
      <w:pPr>
        <w:tabs>
          <w:tab w:val="num" w:pos="5040"/>
        </w:tabs>
        <w:ind w:left="5040" w:hanging="360"/>
      </w:pPr>
      <w:rPr>
        <w:rFonts w:ascii="Arial" w:hAnsi="Arial" w:hint="default"/>
      </w:rPr>
    </w:lvl>
    <w:lvl w:ilvl="7" w:tplc="4AB2DDF2" w:tentative="1">
      <w:start w:val="1"/>
      <w:numFmt w:val="bullet"/>
      <w:lvlText w:val="•"/>
      <w:lvlJc w:val="left"/>
      <w:pPr>
        <w:tabs>
          <w:tab w:val="num" w:pos="5760"/>
        </w:tabs>
        <w:ind w:left="5760" w:hanging="360"/>
      </w:pPr>
      <w:rPr>
        <w:rFonts w:ascii="Arial" w:hAnsi="Arial" w:hint="default"/>
      </w:rPr>
    </w:lvl>
    <w:lvl w:ilvl="8" w:tplc="37DECA3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4C7419"/>
    <w:multiLevelType w:val="hybridMultilevel"/>
    <w:tmpl w:val="5CAC9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CD2921"/>
    <w:multiLevelType w:val="multilevel"/>
    <w:tmpl w:val="2174D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122389"/>
    <w:multiLevelType w:val="hybridMultilevel"/>
    <w:tmpl w:val="3EC42E7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59070FE"/>
    <w:multiLevelType w:val="hybridMultilevel"/>
    <w:tmpl w:val="10282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9B0B99"/>
    <w:multiLevelType w:val="hybridMultilevel"/>
    <w:tmpl w:val="BA468AEE"/>
    <w:lvl w:ilvl="0" w:tplc="49165E28">
      <w:start w:val="1"/>
      <w:numFmt w:val="bullet"/>
      <w:lvlText w:val="•"/>
      <w:lvlJc w:val="left"/>
      <w:pPr>
        <w:tabs>
          <w:tab w:val="num" w:pos="720"/>
        </w:tabs>
        <w:ind w:left="720" w:hanging="360"/>
      </w:pPr>
      <w:rPr>
        <w:rFonts w:ascii="Arial" w:hAnsi="Arial" w:hint="default"/>
      </w:rPr>
    </w:lvl>
    <w:lvl w:ilvl="1" w:tplc="C1C67F96">
      <w:numFmt w:val="none"/>
      <w:lvlText w:val=""/>
      <w:lvlJc w:val="left"/>
      <w:pPr>
        <w:tabs>
          <w:tab w:val="num" w:pos="360"/>
        </w:tabs>
      </w:pPr>
    </w:lvl>
    <w:lvl w:ilvl="2" w:tplc="2A56AAA2">
      <w:numFmt w:val="none"/>
      <w:lvlText w:val=""/>
      <w:lvlJc w:val="left"/>
      <w:pPr>
        <w:tabs>
          <w:tab w:val="num" w:pos="360"/>
        </w:tabs>
      </w:pPr>
    </w:lvl>
    <w:lvl w:ilvl="3" w:tplc="806669B8" w:tentative="1">
      <w:start w:val="1"/>
      <w:numFmt w:val="bullet"/>
      <w:lvlText w:val="•"/>
      <w:lvlJc w:val="left"/>
      <w:pPr>
        <w:tabs>
          <w:tab w:val="num" w:pos="2880"/>
        </w:tabs>
        <w:ind w:left="2880" w:hanging="360"/>
      </w:pPr>
      <w:rPr>
        <w:rFonts w:ascii="Arial" w:hAnsi="Arial" w:hint="default"/>
      </w:rPr>
    </w:lvl>
    <w:lvl w:ilvl="4" w:tplc="3EB86962" w:tentative="1">
      <w:start w:val="1"/>
      <w:numFmt w:val="bullet"/>
      <w:lvlText w:val="•"/>
      <w:lvlJc w:val="left"/>
      <w:pPr>
        <w:tabs>
          <w:tab w:val="num" w:pos="3600"/>
        </w:tabs>
        <w:ind w:left="3600" w:hanging="360"/>
      </w:pPr>
      <w:rPr>
        <w:rFonts w:ascii="Arial" w:hAnsi="Arial" w:hint="default"/>
      </w:rPr>
    </w:lvl>
    <w:lvl w:ilvl="5" w:tplc="66F4062E" w:tentative="1">
      <w:start w:val="1"/>
      <w:numFmt w:val="bullet"/>
      <w:lvlText w:val="•"/>
      <w:lvlJc w:val="left"/>
      <w:pPr>
        <w:tabs>
          <w:tab w:val="num" w:pos="4320"/>
        </w:tabs>
        <w:ind w:left="4320" w:hanging="360"/>
      </w:pPr>
      <w:rPr>
        <w:rFonts w:ascii="Arial" w:hAnsi="Arial" w:hint="default"/>
      </w:rPr>
    </w:lvl>
    <w:lvl w:ilvl="6" w:tplc="9188B7DA" w:tentative="1">
      <w:start w:val="1"/>
      <w:numFmt w:val="bullet"/>
      <w:lvlText w:val="•"/>
      <w:lvlJc w:val="left"/>
      <w:pPr>
        <w:tabs>
          <w:tab w:val="num" w:pos="5040"/>
        </w:tabs>
        <w:ind w:left="5040" w:hanging="360"/>
      </w:pPr>
      <w:rPr>
        <w:rFonts w:ascii="Arial" w:hAnsi="Arial" w:hint="default"/>
      </w:rPr>
    </w:lvl>
    <w:lvl w:ilvl="7" w:tplc="B8A2C0CA" w:tentative="1">
      <w:start w:val="1"/>
      <w:numFmt w:val="bullet"/>
      <w:lvlText w:val="•"/>
      <w:lvlJc w:val="left"/>
      <w:pPr>
        <w:tabs>
          <w:tab w:val="num" w:pos="5760"/>
        </w:tabs>
        <w:ind w:left="5760" w:hanging="360"/>
      </w:pPr>
      <w:rPr>
        <w:rFonts w:ascii="Arial" w:hAnsi="Arial" w:hint="default"/>
      </w:rPr>
    </w:lvl>
    <w:lvl w:ilvl="8" w:tplc="76D06E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DD0760C"/>
    <w:multiLevelType w:val="hybridMultilevel"/>
    <w:tmpl w:val="1D4C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5"/>
  </w:num>
  <w:num w:numId="2">
    <w:abstractNumId w:val="26"/>
  </w:num>
  <w:num w:numId="3">
    <w:abstractNumId w:val="25"/>
  </w:num>
  <w:num w:numId="4">
    <w:abstractNumId w:val="8"/>
  </w:num>
  <w:num w:numId="5">
    <w:abstractNumId w:val="33"/>
  </w:num>
  <w:num w:numId="6">
    <w:abstractNumId w:val="7"/>
  </w:num>
  <w:num w:numId="7">
    <w:abstractNumId w:val="5"/>
  </w:num>
  <w:num w:numId="8">
    <w:abstractNumId w:val="14"/>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
  </w:num>
  <w:num w:numId="12">
    <w:abstractNumId w:val="18"/>
  </w:num>
  <w:num w:numId="13">
    <w:abstractNumId w:val="12"/>
  </w:num>
  <w:num w:numId="14">
    <w:abstractNumId w:val="29"/>
  </w:num>
  <w:num w:numId="15">
    <w:abstractNumId w:val="31"/>
  </w:num>
  <w:num w:numId="16">
    <w:abstractNumId w:val="11"/>
  </w:num>
  <w:num w:numId="17">
    <w:abstractNumId w:val="2"/>
  </w:num>
  <w:num w:numId="18">
    <w:abstractNumId w:val="9"/>
  </w:num>
  <w:num w:numId="19">
    <w:abstractNumId w:val="23"/>
  </w:num>
  <w:num w:numId="20">
    <w:abstractNumId w:val="28"/>
  </w:num>
  <w:num w:numId="21">
    <w:abstractNumId w:val="20"/>
  </w:num>
  <w:num w:numId="22">
    <w:abstractNumId w:val="21"/>
  </w:num>
  <w:num w:numId="23">
    <w:abstractNumId w:val="13"/>
  </w:num>
  <w:num w:numId="24">
    <w:abstractNumId w:val="34"/>
  </w:num>
  <w:num w:numId="25">
    <w:abstractNumId w:val="27"/>
  </w:num>
  <w:num w:numId="26">
    <w:abstractNumId w:val="6"/>
  </w:num>
  <w:num w:numId="27">
    <w:abstractNumId w:val="0"/>
  </w:num>
  <w:num w:numId="28">
    <w:abstractNumId w:val="24"/>
  </w:num>
  <w:num w:numId="29">
    <w:abstractNumId w:val="16"/>
  </w:num>
  <w:num w:numId="30">
    <w:abstractNumId w:val="15"/>
  </w:num>
  <w:num w:numId="31">
    <w:abstractNumId w:val="4"/>
  </w:num>
  <w:num w:numId="32">
    <w:abstractNumId w:val="1"/>
  </w:num>
  <w:num w:numId="33">
    <w:abstractNumId w:val="10"/>
  </w:num>
  <w:num w:numId="34">
    <w:abstractNumId w:val="30"/>
  </w:num>
  <w:num w:numId="35">
    <w:abstractNumId w:val="32"/>
  </w:num>
  <w:num w:numId="36">
    <w:abstractNumId w:val="22"/>
  </w:num>
  <w:num w:numId="37">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37A9"/>
    <w:rsid w:val="000039A7"/>
    <w:rsid w:val="00003FC8"/>
    <w:rsid w:val="000041ED"/>
    <w:rsid w:val="000047D2"/>
    <w:rsid w:val="00004A2F"/>
    <w:rsid w:val="00004BBF"/>
    <w:rsid w:val="00004D1B"/>
    <w:rsid w:val="00006032"/>
    <w:rsid w:val="00006C3B"/>
    <w:rsid w:val="000073FB"/>
    <w:rsid w:val="000078E6"/>
    <w:rsid w:val="0001114B"/>
    <w:rsid w:val="00011C50"/>
    <w:rsid w:val="00011CB1"/>
    <w:rsid w:val="00012342"/>
    <w:rsid w:val="00012982"/>
    <w:rsid w:val="00012BDD"/>
    <w:rsid w:val="00012D27"/>
    <w:rsid w:val="000139B7"/>
    <w:rsid w:val="00013B62"/>
    <w:rsid w:val="00013D9A"/>
    <w:rsid w:val="00014117"/>
    <w:rsid w:val="00014165"/>
    <w:rsid w:val="0001425E"/>
    <w:rsid w:val="00014501"/>
    <w:rsid w:val="000150C8"/>
    <w:rsid w:val="00015D49"/>
    <w:rsid w:val="0001601E"/>
    <w:rsid w:val="00017714"/>
    <w:rsid w:val="00017A14"/>
    <w:rsid w:val="00017D5A"/>
    <w:rsid w:val="00020312"/>
    <w:rsid w:val="00021EAF"/>
    <w:rsid w:val="00022307"/>
    <w:rsid w:val="00022334"/>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A91"/>
    <w:rsid w:val="00027EED"/>
    <w:rsid w:val="00030379"/>
    <w:rsid w:val="00030C63"/>
    <w:rsid w:val="00030CFC"/>
    <w:rsid w:val="00031048"/>
    <w:rsid w:val="0003245B"/>
    <w:rsid w:val="00032519"/>
    <w:rsid w:val="0003350F"/>
    <w:rsid w:val="00033CBA"/>
    <w:rsid w:val="0003435F"/>
    <w:rsid w:val="00034622"/>
    <w:rsid w:val="00034E62"/>
    <w:rsid w:val="0003548C"/>
    <w:rsid w:val="000358A0"/>
    <w:rsid w:val="000359C2"/>
    <w:rsid w:val="000363EA"/>
    <w:rsid w:val="0003653B"/>
    <w:rsid w:val="00036646"/>
    <w:rsid w:val="00036E73"/>
    <w:rsid w:val="0003730A"/>
    <w:rsid w:val="000374C6"/>
    <w:rsid w:val="00037601"/>
    <w:rsid w:val="00037E39"/>
    <w:rsid w:val="00037E91"/>
    <w:rsid w:val="00040320"/>
    <w:rsid w:val="00040880"/>
    <w:rsid w:val="00040C18"/>
    <w:rsid w:val="00041B14"/>
    <w:rsid w:val="0004248E"/>
    <w:rsid w:val="000436AB"/>
    <w:rsid w:val="000446DE"/>
    <w:rsid w:val="00044D27"/>
    <w:rsid w:val="00044D8D"/>
    <w:rsid w:val="00044ED8"/>
    <w:rsid w:val="00045494"/>
    <w:rsid w:val="000456A6"/>
    <w:rsid w:val="0004582E"/>
    <w:rsid w:val="00045EEF"/>
    <w:rsid w:val="000463C2"/>
    <w:rsid w:val="000465C8"/>
    <w:rsid w:val="0004695A"/>
    <w:rsid w:val="00046A5C"/>
    <w:rsid w:val="000479C3"/>
    <w:rsid w:val="0005017E"/>
    <w:rsid w:val="0005034B"/>
    <w:rsid w:val="00050B6F"/>
    <w:rsid w:val="000512ED"/>
    <w:rsid w:val="000524B3"/>
    <w:rsid w:val="00052E7F"/>
    <w:rsid w:val="0005408E"/>
    <w:rsid w:val="000541FE"/>
    <w:rsid w:val="0005420D"/>
    <w:rsid w:val="0005512F"/>
    <w:rsid w:val="000552F1"/>
    <w:rsid w:val="0005598B"/>
    <w:rsid w:val="00056090"/>
    <w:rsid w:val="00056B00"/>
    <w:rsid w:val="00056C61"/>
    <w:rsid w:val="0005737D"/>
    <w:rsid w:val="00057513"/>
    <w:rsid w:val="000579EF"/>
    <w:rsid w:val="00057A6E"/>
    <w:rsid w:val="00057AD1"/>
    <w:rsid w:val="00057B62"/>
    <w:rsid w:val="00057CCD"/>
    <w:rsid w:val="00057F51"/>
    <w:rsid w:val="00061A5F"/>
    <w:rsid w:val="00061D59"/>
    <w:rsid w:val="00062363"/>
    <w:rsid w:val="00062675"/>
    <w:rsid w:val="000627C9"/>
    <w:rsid w:val="00062C13"/>
    <w:rsid w:val="00062DDD"/>
    <w:rsid w:val="00064133"/>
    <w:rsid w:val="000656E5"/>
    <w:rsid w:val="00065BA2"/>
    <w:rsid w:val="000666B9"/>
    <w:rsid w:val="00066770"/>
    <w:rsid w:val="0006680A"/>
    <w:rsid w:val="00066A1D"/>
    <w:rsid w:val="00066F64"/>
    <w:rsid w:val="00067BBE"/>
    <w:rsid w:val="00067E0D"/>
    <w:rsid w:val="00070219"/>
    <w:rsid w:val="00070272"/>
    <w:rsid w:val="0007033B"/>
    <w:rsid w:val="0007044A"/>
    <w:rsid w:val="000708AD"/>
    <w:rsid w:val="000708E5"/>
    <w:rsid w:val="00070C84"/>
    <w:rsid w:val="00070DF6"/>
    <w:rsid w:val="0007156C"/>
    <w:rsid w:val="00071E4C"/>
    <w:rsid w:val="0007288B"/>
    <w:rsid w:val="00072E74"/>
    <w:rsid w:val="00074642"/>
    <w:rsid w:val="00075305"/>
    <w:rsid w:val="00075BDE"/>
    <w:rsid w:val="00075BF3"/>
    <w:rsid w:val="0007610F"/>
    <w:rsid w:val="00076E03"/>
    <w:rsid w:val="000770F9"/>
    <w:rsid w:val="0007728E"/>
    <w:rsid w:val="00077E39"/>
    <w:rsid w:val="00080347"/>
    <w:rsid w:val="0008062A"/>
    <w:rsid w:val="00080681"/>
    <w:rsid w:val="000807A2"/>
    <w:rsid w:val="00080821"/>
    <w:rsid w:val="00080BEE"/>
    <w:rsid w:val="00080DCD"/>
    <w:rsid w:val="0008144A"/>
    <w:rsid w:val="00081781"/>
    <w:rsid w:val="00081FEA"/>
    <w:rsid w:val="000823F4"/>
    <w:rsid w:val="0008258D"/>
    <w:rsid w:val="00083246"/>
    <w:rsid w:val="000839E3"/>
    <w:rsid w:val="00083E10"/>
    <w:rsid w:val="00083E1A"/>
    <w:rsid w:val="000851E7"/>
    <w:rsid w:val="00085415"/>
    <w:rsid w:val="00085C53"/>
    <w:rsid w:val="00085EA8"/>
    <w:rsid w:val="000863BD"/>
    <w:rsid w:val="0008685F"/>
    <w:rsid w:val="00086EDA"/>
    <w:rsid w:val="0008744E"/>
    <w:rsid w:val="000901E2"/>
    <w:rsid w:val="0009079C"/>
    <w:rsid w:val="000918A3"/>
    <w:rsid w:val="00091C4A"/>
    <w:rsid w:val="0009212A"/>
    <w:rsid w:val="00092695"/>
    <w:rsid w:val="00092B03"/>
    <w:rsid w:val="0009320C"/>
    <w:rsid w:val="00093F4E"/>
    <w:rsid w:val="000940F3"/>
    <w:rsid w:val="0009442F"/>
    <w:rsid w:val="00094654"/>
    <w:rsid w:val="00094AAD"/>
    <w:rsid w:val="00094AFD"/>
    <w:rsid w:val="00094F91"/>
    <w:rsid w:val="00095FF6"/>
    <w:rsid w:val="000964C1"/>
    <w:rsid w:val="000968A7"/>
    <w:rsid w:val="00096D4C"/>
    <w:rsid w:val="00096D84"/>
    <w:rsid w:val="00096E1F"/>
    <w:rsid w:val="000977F1"/>
    <w:rsid w:val="000979B3"/>
    <w:rsid w:val="00097B87"/>
    <w:rsid w:val="000A060B"/>
    <w:rsid w:val="000A0AC8"/>
    <w:rsid w:val="000A0AD3"/>
    <w:rsid w:val="000A1271"/>
    <w:rsid w:val="000A1B94"/>
    <w:rsid w:val="000A2152"/>
    <w:rsid w:val="000A2A4C"/>
    <w:rsid w:val="000A2C2A"/>
    <w:rsid w:val="000A3A6D"/>
    <w:rsid w:val="000A3AF4"/>
    <w:rsid w:val="000A451E"/>
    <w:rsid w:val="000A4BEB"/>
    <w:rsid w:val="000A4D8E"/>
    <w:rsid w:val="000A5060"/>
    <w:rsid w:val="000A522D"/>
    <w:rsid w:val="000A5631"/>
    <w:rsid w:val="000A5806"/>
    <w:rsid w:val="000A5BF1"/>
    <w:rsid w:val="000A693F"/>
    <w:rsid w:val="000A6F20"/>
    <w:rsid w:val="000A70C7"/>
    <w:rsid w:val="000A78BB"/>
    <w:rsid w:val="000B04B5"/>
    <w:rsid w:val="000B0F93"/>
    <w:rsid w:val="000B0FA5"/>
    <w:rsid w:val="000B1DC2"/>
    <w:rsid w:val="000B235E"/>
    <w:rsid w:val="000B2A11"/>
    <w:rsid w:val="000B34AA"/>
    <w:rsid w:val="000B38BD"/>
    <w:rsid w:val="000B3926"/>
    <w:rsid w:val="000B3A60"/>
    <w:rsid w:val="000B3EA7"/>
    <w:rsid w:val="000B4BE7"/>
    <w:rsid w:val="000B50FE"/>
    <w:rsid w:val="000B5426"/>
    <w:rsid w:val="000B55E3"/>
    <w:rsid w:val="000B59B0"/>
    <w:rsid w:val="000B5A2C"/>
    <w:rsid w:val="000B6390"/>
    <w:rsid w:val="000B662A"/>
    <w:rsid w:val="000B6B1F"/>
    <w:rsid w:val="000B75E2"/>
    <w:rsid w:val="000B7849"/>
    <w:rsid w:val="000B7D56"/>
    <w:rsid w:val="000C056F"/>
    <w:rsid w:val="000C0A0C"/>
    <w:rsid w:val="000C0BD0"/>
    <w:rsid w:val="000C126D"/>
    <w:rsid w:val="000C1A33"/>
    <w:rsid w:val="000C26C4"/>
    <w:rsid w:val="000C2719"/>
    <w:rsid w:val="000C2B76"/>
    <w:rsid w:val="000C300F"/>
    <w:rsid w:val="000C3222"/>
    <w:rsid w:val="000C357F"/>
    <w:rsid w:val="000C375D"/>
    <w:rsid w:val="000C3EB5"/>
    <w:rsid w:val="000C3FF8"/>
    <w:rsid w:val="000C4426"/>
    <w:rsid w:val="000C49C8"/>
    <w:rsid w:val="000C5676"/>
    <w:rsid w:val="000C5959"/>
    <w:rsid w:val="000C60C5"/>
    <w:rsid w:val="000C674F"/>
    <w:rsid w:val="000C6B63"/>
    <w:rsid w:val="000C6B9D"/>
    <w:rsid w:val="000C6D3B"/>
    <w:rsid w:val="000C70BC"/>
    <w:rsid w:val="000C7278"/>
    <w:rsid w:val="000C7A09"/>
    <w:rsid w:val="000C7B50"/>
    <w:rsid w:val="000C7E61"/>
    <w:rsid w:val="000D0246"/>
    <w:rsid w:val="000D06C8"/>
    <w:rsid w:val="000D0B28"/>
    <w:rsid w:val="000D0B41"/>
    <w:rsid w:val="000D0BA2"/>
    <w:rsid w:val="000D21CF"/>
    <w:rsid w:val="000D23D1"/>
    <w:rsid w:val="000D24B9"/>
    <w:rsid w:val="000D24D4"/>
    <w:rsid w:val="000D27D3"/>
    <w:rsid w:val="000D2A56"/>
    <w:rsid w:val="000D2D53"/>
    <w:rsid w:val="000D2DFA"/>
    <w:rsid w:val="000D2E4D"/>
    <w:rsid w:val="000D31E6"/>
    <w:rsid w:val="000D374C"/>
    <w:rsid w:val="000D38C9"/>
    <w:rsid w:val="000D42AA"/>
    <w:rsid w:val="000D4397"/>
    <w:rsid w:val="000D459D"/>
    <w:rsid w:val="000D49F1"/>
    <w:rsid w:val="000D4FE0"/>
    <w:rsid w:val="000D53F9"/>
    <w:rsid w:val="000D5CD5"/>
    <w:rsid w:val="000D61BD"/>
    <w:rsid w:val="000D6A5E"/>
    <w:rsid w:val="000D70C0"/>
    <w:rsid w:val="000D7907"/>
    <w:rsid w:val="000D7B74"/>
    <w:rsid w:val="000D7DAC"/>
    <w:rsid w:val="000E05B1"/>
    <w:rsid w:val="000E0B1A"/>
    <w:rsid w:val="000E0E63"/>
    <w:rsid w:val="000E1155"/>
    <w:rsid w:val="000E157E"/>
    <w:rsid w:val="000E174F"/>
    <w:rsid w:val="000E1C18"/>
    <w:rsid w:val="000E2ADE"/>
    <w:rsid w:val="000E2B75"/>
    <w:rsid w:val="000E2C22"/>
    <w:rsid w:val="000E3B03"/>
    <w:rsid w:val="000E3B5E"/>
    <w:rsid w:val="000E3B7E"/>
    <w:rsid w:val="000E42FE"/>
    <w:rsid w:val="000E5640"/>
    <w:rsid w:val="000E5E0B"/>
    <w:rsid w:val="000E63D2"/>
    <w:rsid w:val="000E651B"/>
    <w:rsid w:val="000E7499"/>
    <w:rsid w:val="000E7B71"/>
    <w:rsid w:val="000E7ED7"/>
    <w:rsid w:val="000F08EC"/>
    <w:rsid w:val="000F0DD5"/>
    <w:rsid w:val="000F1B1D"/>
    <w:rsid w:val="000F1D3F"/>
    <w:rsid w:val="000F1F20"/>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429"/>
    <w:rsid w:val="0010079A"/>
    <w:rsid w:val="00100904"/>
    <w:rsid w:val="00100BDE"/>
    <w:rsid w:val="00100D60"/>
    <w:rsid w:val="00100EF3"/>
    <w:rsid w:val="00101CFB"/>
    <w:rsid w:val="00102A1C"/>
    <w:rsid w:val="001030F5"/>
    <w:rsid w:val="0010390B"/>
    <w:rsid w:val="00103969"/>
    <w:rsid w:val="001040EC"/>
    <w:rsid w:val="001050DA"/>
    <w:rsid w:val="001059BB"/>
    <w:rsid w:val="00106338"/>
    <w:rsid w:val="00106F0C"/>
    <w:rsid w:val="00107B50"/>
    <w:rsid w:val="00110126"/>
    <w:rsid w:val="00110BE2"/>
    <w:rsid w:val="00110F43"/>
    <w:rsid w:val="001113C7"/>
    <w:rsid w:val="00111663"/>
    <w:rsid w:val="001116C5"/>
    <w:rsid w:val="00112E65"/>
    <w:rsid w:val="001133A4"/>
    <w:rsid w:val="0011391A"/>
    <w:rsid w:val="0011404E"/>
    <w:rsid w:val="00114077"/>
    <w:rsid w:val="00114245"/>
    <w:rsid w:val="00114505"/>
    <w:rsid w:val="001145A9"/>
    <w:rsid w:val="00114934"/>
    <w:rsid w:val="001154F0"/>
    <w:rsid w:val="00115E56"/>
    <w:rsid w:val="00115EC3"/>
    <w:rsid w:val="00116732"/>
    <w:rsid w:val="001168B7"/>
    <w:rsid w:val="001168DF"/>
    <w:rsid w:val="0011692D"/>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48AD"/>
    <w:rsid w:val="001249D0"/>
    <w:rsid w:val="0012501E"/>
    <w:rsid w:val="0012519F"/>
    <w:rsid w:val="00125209"/>
    <w:rsid w:val="0012569C"/>
    <w:rsid w:val="0012582D"/>
    <w:rsid w:val="00125DD0"/>
    <w:rsid w:val="00126023"/>
    <w:rsid w:val="00126A0D"/>
    <w:rsid w:val="00126A83"/>
    <w:rsid w:val="00126AFB"/>
    <w:rsid w:val="00126E1B"/>
    <w:rsid w:val="00127107"/>
    <w:rsid w:val="00127293"/>
    <w:rsid w:val="00130130"/>
    <w:rsid w:val="001301AC"/>
    <w:rsid w:val="00130215"/>
    <w:rsid w:val="001306EA"/>
    <w:rsid w:val="00130BB4"/>
    <w:rsid w:val="0013265C"/>
    <w:rsid w:val="001327A1"/>
    <w:rsid w:val="00132C26"/>
    <w:rsid w:val="00133496"/>
    <w:rsid w:val="001334AF"/>
    <w:rsid w:val="001334ED"/>
    <w:rsid w:val="001336DC"/>
    <w:rsid w:val="0013399C"/>
    <w:rsid w:val="0013415D"/>
    <w:rsid w:val="001346FB"/>
    <w:rsid w:val="00134DF1"/>
    <w:rsid w:val="00135077"/>
    <w:rsid w:val="00135E6A"/>
    <w:rsid w:val="001367E8"/>
    <w:rsid w:val="00136E4B"/>
    <w:rsid w:val="0013766A"/>
    <w:rsid w:val="00137C0D"/>
    <w:rsid w:val="00137DD1"/>
    <w:rsid w:val="0014031F"/>
    <w:rsid w:val="001403C8"/>
    <w:rsid w:val="0014096A"/>
    <w:rsid w:val="00140AD3"/>
    <w:rsid w:val="00140C55"/>
    <w:rsid w:val="00140FC5"/>
    <w:rsid w:val="00141358"/>
    <w:rsid w:val="001426A0"/>
    <w:rsid w:val="00142BD7"/>
    <w:rsid w:val="00143060"/>
    <w:rsid w:val="00143A83"/>
    <w:rsid w:val="00144042"/>
    <w:rsid w:val="00144674"/>
    <w:rsid w:val="001448F9"/>
    <w:rsid w:val="00144A41"/>
    <w:rsid w:val="00144F74"/>
    <w:rsid w:val="00145726"/>
    <w:rsid w:val="001457CE"/>
    <w:rsid w:val="00145C2B"/>
    <w:rsid w:val="00145FF3"/>
    <w:rsid w:val="00146A54"/>
    <w:rsid w:val="00146C2C"/>
    <w:rsid w:val="001475D7"/>
    <w:rsid w:val="00147B38"/>
    <w:rsid w:val="00147CB6"/>
    <w:rsid w:val="00147D79"/>
    <w:rsid w:val="001502C7"/>
    <w:rsid w:val="00150963"/>
    <w:rsid w:val="00150A93"/>
    <w:rsid w:val="00150D21"/>
    <w:rsid w:val="00150DB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5BD1"/>
    <w:rsid w:val="0015655C"/>
    <w:rsid w:val="00156C21"/>
    <w:rsid w:val="00156D46"/>
    <w:rsid w:val="0015739F"/>
    <w:rsid w:val="001603A2"/>
    <w:rsid w:val="001603DF"/>
    <w:rsid w:val="001605C1"/>
    <w:rsid w:val="00160FB5"/>
    <w:rsid w:val="0016119A"/>
    <w:rsid w:val="0016142B"/>
    <w:rsid w:val="00161499"/>
    <w:rsid w:val="001618D2"/>
    <w:rsid w:val="00162321"/>
    <w:rsid w:val="00162403"/>
    <w:rsid w:val="0016259D"/>
    <w:rsid w:val="0016286D"/>
    <w:rsid w:val="00162BED"/>
    <w:rsid w:val="00163842"/>
    <w:rsid w:val="0016479A"/>
    <w:rsid w:val="00164E7E"/>
    <w:rsid w:val="0016508B"/>
    <w:rsid w:val="001650B8"/>
    <w:rsid w:val="0016516D"/>
    <w:rsid w:val="00165F32"/>
    <w:rsid w:val="00166E9F"/>
    <w:rsid w:val="00167609"/>
    <w:rsid w:val="00167C04"/>
    <w:rsid w:val="00167C2C"/>
    <w:rsid w:val="0017027A"/>
    <w:rsid w:val="00170421"/>
    <w:rsid w:val="0017043F"/>
    <w:rsid w:val="00170543"/>
    <w:rsid w:val="00170690"/>
    <w:rsid w:val="00170AE2"/>
    <w:rsid w:val="0017102C"/>
    <w:rsid w:val="00171087"/>
    <w:rsid w:val="00171E27"/>
    <w:rsid w:val="001726C7"/>
    <w:rsid w:val="001727E6"/>
    <w:rsid w:val="001731A3"/>
    <w:rsid w:val="00173B1E"/>
    <w:rsid w:val="00173DB5"/>
    <w:rsid w:val="00174F8B"/>
    <w:rsid w:val="001751CC"/>
    <w:rsid w:val="00175577"/>
    <w:rsid w:val="00175723"/>
    <w:rsid w:val="00177358"/>
    <w:rsid w:val="00177DDF"/>
    <w:rsid w:val="00177E54"/>
    <w:rsid w:val="00177EDD"/>
    <w:rsid w:val="00180F7C"/>
    <w:rsid w:val="00181530"/>
    <w:rsid w:val="001816C9"/>
    <w:rsid w:val="00181854"/>
    <w:rsid w:val="00182186"/>
    <w:rsid w:val="0018265B"/>
    <w:rsid w:val="00182785"/>
    <w:rsid w:val="00182D90"/>
    <w:rsid w:val="00182F13"/>
    <w:rsid w:val="00183E33"/>
    <w:rsid w:val="00183F39"/>
    <w:rsid w:val="001843D4"/>
    <w:rsid w:val="00184FB6"/>
    <w:rsid w:val="0018519D"/>
    <w:rsid w:val="00185EE9"/>
    <w:rsid w:val="00185F08"/>
    <w:rsid w:val="001860E9"/>
    <w:rsid w:val="00186B18"/>
    <w:rsid w:val="001878FE"/>
    <w:rsid w:val="00187976"/>
    <w:rsid w:val="00187FA5"/>
    <w:rsid w:val="0019028C"/>
    <w:rsid w:val="0019086A"/>
    <w:rsid w:val="00190B77"/>
    <w:rsid w:val="00190FF4"/>
    <w:rsid w:val="0019167D"/>
    <w:rsid w:val="00191BA5"/>
    <w:rsid w:val="001920A5"/>
    <w:rsid w:val="00192422"/>
    <w:rsid w:val="00192AD2"/>
    <w:rsid w:val="001931C1"/>
    <w:rsid w:val="00193347"/>
    <w:rsid w:val="00193491"/>
    <w:rsid w:val="00193516"/>
    <w:rsid w:val="0019382E"/>
    <w:rsid w:val="00193CD3"/>
    <w:rsid w:val="00193D4A"/>
    <w:rsid w:val="00194385"/>
    <w:rsid w:val="00195353"/>
    <w:rsid w:val="00195BD8"/>
    <w:rsid w:val="00195CC7"/>
    <w:rsid w:val="00195EC3"/>
    <w:rsid w:val="00195ECF"/>
    <w:rsid w:val="001961C9"/>
    <w:rsid w:val="001962D1"/>
    <w:rsid w:val="001962F6"/>
    <w:rsid w:val="001965ED"/>
    <w:rsid w:val="00196609"/>
    <w:rsid w:val="001966EF"/>
    <w:rsid w:val="00197406"/>
    <w:rsid w:val="00197434"/>
    <w:rsid w:val="00197607"/>
    <w:rsid w:val="00197979"/>
    <w:rsid w:val="00197D12"/>
    <w:rsid w:val="001A003A"/>
    <w:rsid w:val="001A0172"/>
    <w:rsid w:val="001A01DA"/>
    <w:rsid w:val="001A04B5"/>
    <w:rsid w:val="001A08A9"/>
    <w:rsid w:val="001A0A59"/>
    <w:rsid w:val="001A22C5"/>
    <w:rsid w:val="001A29C1"/>
    <w:rsid w:val="001A3137"/>
    <w:rsid w:val="001A3600"/>
    <w:rsid w:val="001A4725"/>
    <w:rsid w:val="001A4914"/>
    <w:rsid w:val="001A4A47"/>
    <w:rsid w:val="001A5517"/>
    <w:rsid w:val="001A5805"/>
    <w:rsid w:val="001A66EA"/>
    <w:rsid w:val="001A6D1B"/>
    <w:rsid w:val="001A6F80"/>
    <w:rsid w:val="001A7126"/>
    <w:rsid w:val="001A7DC3"/>
    <w:rsid w:val="001B0197"/>
    <w:rsid w:val="001B0248"/>
    <w:rsid w:val="001B072D"/>
    <w:rsid w:val="001B0AE9"/>
    <w:rsid w:val="001B0D31"/>
    <w:rsid w:val="001B13E6"/>
    <w:rsid w:val="001B185D"/>
    <w:rsid w:val="001B1B38"/>
    <w:rsid w:val="001B2FA9"/>
    <w:rsid w:val="001B3115"/>
    <w:rsid w:val="001B383D"/>
    <w:rsid w:val="001B3893"/>
    <w:rsid w:val="001B45D3"/>
    <w:rsid w:val="001B461D"/>
    <w:rsid w:val="001B4909"/>
    <w:rsid w:val="001B578E"/>
    <w:rsid w:val="001B5849"/>
    <w:rsid w:val="001B68D8"/>
    <w:rsid w:val="001B6AFB"/>
    <w:rsid w:val="001B6F88"/>
    <w:rsid w:val="001B7725"/>
    <w:rsid w:val="001C0919"/>
    <w:rsid w:val="001C0C57"/>
    <w:rsid w:val="001C0CB2"/>
    <w:rsid w:val="001C1336"/>
    <w:rsid w:val="001C14C3"/>
    <w:rsid w:val="001C17B0"/>
    <w:rsid w:val="001C19F6"/>
    <w:rsid w:val="001C1E7D"/>
    <w:rsid w:val="001C2352"/>
    <w:rsid w:val="001C246A"/>
    <w:rsid w:val="001C26C0"/>
    <w:rsid w:val="001C27CC"/>
    <w:rsid w:val="001C2D66"/>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1550"/>
    <w:rsid w:val="001D1E06"/>
    <w:rsid w:val="001D2453"/>
    <w:rsid w:val="001D2C28"/>
    <w:rsid w:val="001D2F8F"/>
    <w:rsid w:val="001D30D3"/>
    <w:rsid w:val="001D3636"/>
    <w:rsid w:val="001D3781"/>
    <w:rsid w:val="001D3AB2"/>
    <w:rsid w:val="001D46D0"/>
    <w:rsid w:val="001D4850"/>
    <w:rsid w:val="001D48E3"/>
    <w:rsid w:val="001D5196"/>
    <w:rsid w:val="001D611D"/>
    <w:rsid w:val="001D64D3"/>
    <w:rsid w:val="001D67EE"/>
    <w:rsid w:val="001D6830"/>
    <w:rsid w:val="001D6942"/>
    <w:rsid w:val="001D6C48"/>
    <w:rsid w:val="001D6D25"/>
    <w:rsid w:val="001D70BE"/>
    <w:rsid w:val="001D721F"/>
    <w:rsid w:val="001D788A"/>
    <w:rsid w:val="001D7955"/>
    <w:rsid w:val="001D7964"/>
    <w:rsid w:val="001D7E0A"/>
    <w:rsid w:val="001E029B"/>
    <w:rsid w:val="001E0581"/>
    <w:rsid w:val="001E05E0"/>
    <w:rsid w:val="001E0A07"/>
    <w:rsid w:val="001E0B83"/>
    <w:rsid w:val="001E0E6D"/>
    <w:rsid w:val="001E185D"/>
    <w:rsid w:val="001E1919"/>
    <w:rsid w:val="001E1942"/>
    <w:rsid w:val="001E212F"/>
    <w:rsid w:val="001E2A10"/>
    <w:rsid w:val="001E2DC8"/>
    <w:rsid w:val="001E3879"/>
    <w:rsid w:val="001E4638"/>
    <w:rsid w:val="001E4804"/>
    <w:rsid w:val="001E5290"/>
    <w:rsid w:val="001E5338"/>
    <w:rsid w:val="001E54DA"/>
    <w:rsid w:val="001E5B38"/>
    <w:rsid w:val="001E5BB4"/>
    <w:rsid w:val="001E5DCB"/>
    <w:rsid w:val="001E6DF9"/>
    <w:rsid w:val="001E70AA"/>
    <w:rsid w:val="001E76D0"/>
    <w:rsid w:val="001F0308"/>
    <w:rsid w:val="001F041E"/>
    <w:rsid w:val="001F046D"/>
    <w:rsid w:val="001F07D3"/>
    <w:rsid w:val="001F0CE0"/>
    <w:rsid w:val="001F13B4"/>
    <w:rsid w:val="001F171A"/>
    <w:rsid w:val="001F1922"/>
    <w:rsid w:val="001F1EFE"/>
    <w:rsid w:val="001F1FB5"/>
    <w:rsid w:val="001F2481"/>
    <w:rsid w:val="001F2531"/>
    <w:rsid w:val="001F271F"/>
    <w:rsid w:val="001F2DA5"/>
    <w:rsid w:val="001F2E93"/>
    <w:rsid w:val="001F2F0A"/>
    <w:rsid w:val="001F393E"/>
    <w:rsid w:val="001F40D3"/>
    <w:rsid w:val="001F47D4"/>
    <w:rsid w:val="001F4A75"/>
    <w:rsid w:val="001F4A8D"/>
    <w:rsid w:val="001F4F7C"/>
    <w:rsid w:val="001F51A4"/>
    <w:rsid w:val="001F55AB"/>
    <w:rsid w:val="001F5630"/>
    <w:rsid w:val="001F6103"/>
    <w:rsid w:val="001F644D"/>
    <w:rsid w:val="001F6C6A"/>
    <w:rsid w:val="001F6E6E"/>
    <w:rsid w:val="001F70F1"/>
    <w:rsid w:val="001F7231"/>
    <w:rsid w:val="001F769C"/>
    <w:rsid w:val="001F7882"/>
    <w:rsid w:val="00200510"/>
    <w:rsid w:val="0020057C"/>
    <w:rsid w:val="002007DC"/>
    <w:rsid w:val="00200845"/>
    <w:rsid w:val="00200BF4"/>
    <w:rsid w:val="0020109B"/>
    <w:rsid w:val="00201842"/>
    <w:rsid w:val="00201ADA"/>
    <w:rsid w:val="00202A81"/>
    <w:rsid w:val="00202FA8"/>
    <w:rsid w:val="0020310E"/>
    <w:rsid w:val="0020366C"/>
    <w:rsid w:val="00203F1A"/>
    <w:rsid w:val="00204126"/>
    <w:rsid w:val="002041EA"/>
    <w:rsid w:val="00204413"/>
    <w:rsid w:val="00204F98"/>
    <w:rsid w:val="0020535B"/>
    <w:rsid w:val="00205F79"/>
    <w:rsid w:val="00206528"/>
    <w:rsid w:val="002068CF"/>
    <w:rsid w:val="00206DE1"/>
    <w:rsid w:val="00207282"/>
    <w:rsid w:val="00207ED2"/>
    <w:rsid w:val="00207EFD"/>
    <w:rsid w:val="00207FD5"/>
    <w:rsid w:val="00210304"/>
    <w:rsid w:val="002103FA"/>
    <w:rsid w:val="00210C05"/>
    <w:rsid w:val="00211512"/>
    <w:rsid w:val="002115FC"/>
    <w:rsid w:val="0021165A"/>
    <w:rsid w:val="002116A6"/>
    <w:rsid w:val="002117B9"/>
    <w:rsid w:val="002121E5"/>
    <w:rsid w:val="00212E27"/>
    <w:rsid w:val="00212E5B"/>
    <w:rsid w:val="00212EC8"/>
    <w:rsid w:val="00212F28"/>
    <w:rsid w:val="00213A09"/>
    <w:rsid w:val="00213DAA"/>
    <w:rsid w:val="00213F44"/>
    <w:rsid w:val="00214CEB"/>
    <w:rsid w:val="00214DA9"/>
    <w:rsid w:val="00215968"/>
    <w:rsid w:val="0021635E"/>
    <w:rsid w:val="00216397"/>
    <w:rsid w:val="00217680"/>
    <w:rsid w:val="002178A6"/>
    <w:rsid w:val="00217BC5"/>
    <w:rsid w:val="00220963"/>
    <w:rsid w:val="00220E05"/>
    <w:rsid w:val="00220F8C"/>
    <w:rsid w:val="0022112F"/>
    <w:rsid w:val="0022138D"/>
    <w:rsid w:val="0022169B"/>
    <w:rsid w:val="0022172E"/>
    <w:rsid w:val="00221E5A"/>
    <w:rsid w:val="00221F62"/>
    <w:rsid w:val="002227FB"/>
    <w:rsid w:val="00222B44"/>
    <w:rsid w:val="00222C1D"/>
    <w:rsid w:val="002230CA"/>
    <w:rsid w:val="002230E4"/>
    <w:rsid w:val="002233E0"/>
    <w:rsid w:val="0022420D"/>
    <w:rsid w:val="0022432A"/>
    <w:rsid w:val="00224B11"/>
    <w:rsid w:val="00225285"/>
    <w:rsid w:val="002255F6"/>
    <w:rsid w:val="002257E4"/>
    <w:rsid w:val="0022585F"/>
    <w:rsid w:val="002258A1"/>
    <w:rsid w:val="00225972"/>
    <w:rsid w:val="00225CD9"/>
    <w:rsid w:val="00226551"/>
    <w:rsid w:val="00226647"/>
    <w:rsid w:val="00226876"/>
    <w:rsid w:val="0022694F"/>
    <w:rsid w:val="00226BD4"/>
    <w:rsid w:val="002277CF"/>
    <w:rsid w:val="002277EB"/>
    <w:rsid w:val="00231879"/>
    <w:rsid w:val="00231986"/>
    <w:rsid w:val="00231C43"/>
    <w:rsid w:val="00232059"/>
    <w:rsid w:val="00232DDD"/>
    <w:rsid w:val="00232F69"/>
    <w:rsid w:val="00233408"/>
    <w:rsid w:val="00233550"/>
    <w:rsid w:val="00234404"/>
    <w:rsid w:val="00235558"/>
    <w:rsid w:val="00235596"/>
    <w:rsid w:val="00236117"/>
    <w:rsid w:val="00236178"/>
    <w:rsid w:val="0023673E"/>
    <w:rsid w:val="00236F55"/>
    <w:rsid w:val="00237259"/>
    <w:rsid w:val="0023782D"/>
    <w:rsid w:val="00237ECB"/>
    <w:rsid w:val="0024032E"/>
    <w:rsid w:val="002405EB"/>
    <w:rsid w:val="00241207"/>
    <w:rsid w:val="00241227"/>
    <w:rsid w:val="0024135F"/>
    <w:rsid w:val="0024189E"/>
    <w:rsid w:val="00242139"/>
    <w:rsid w:val="00242186"/>
    <w:rsid w:val="002424C9"/>
    <w:rsid w:val="00242E94"/>
    <w:rsid w:val="00243258"/>
    <w:rsid w:val="002434F0"/>
    <w:rsid w:val="00243F00"/>
    <w:rsid w:val="002442F3"/>
    <w:rsid w:val="0024479E"/>
    <w:rsid w:val="002455EF"/>
    <w:rsid w:val="00245C10"/>
    <w:rsid w:val="00245FCA"/>
    <w:rsid w:val="00246CA5"/>
    <w:rsid w:val="00246D60"/>
    <w:rsid w:val="002472F2"/>
    <w:rsid w:val="0024774D"/>
    <w:rsid w:val="00247C17"/>
    <w:rsid w:val="00250CF2"/>
    <w:rsid w:val="00251512"/>
    <w:rsid w:val="00251658"/>
    <w:rsid w:val="002517BF"/>
    <w:rsid w:val="00251C11"/>
    <w:rsid w:val="00251F77"/>
    <w:rsid w:val="002521AC"/>
    <w:rsid w:val="00252B2B"/>
    <w:rsid w:val="00252EAC"/>
    <w:rsid w:val="00253659"/>
    <w:rsid w:val="002536FF"/>
    <w:rsid w:val="002537EF"/>
    <w:rsid w:val="00253E63"/>
    <w:rsid w:val="00254B98"/>
    <w:rsid w:val="00254F4A"/>
    <w:rsid w:val="00255EA3"/>
    <w:rsid w:val="002563BF"/>
    <w:rsid w:val="002564A2"/>
    <w:rsid w:val="0025720C"/>
    <w:rsid w:val="0025769E"/>
    <w:rsid w:val="00257B0A"/>
    <w:rsid w:val="00257E49"/>
    <w:rsid w:val="0026062E"/>
    <w:rsid w:val="002615BB"/>
    <w:rsid w:val="00261690"/>
    <w:rsid w:val="00261991"/>
    <w:rsid w:val="00261D96"/>
    <w:rsid w:val="002621FF"/>
    <w:rsid w:val="0026260A"/>
    <w:rsid w:val="002626CF"/>
    <w:rsid w:val="002631DF"/>
    <w:rsid w:val="002635C5"/>
    <w:rsid w:val="002639DB"/>
    <w:rsid w:val="00263A47"/>
    <w:rsid w:val="00263E71"/>
    <w:rsid w:val="002644D6"/>
    <w:rsid w:val="0026468D"/>
    <w:rsid w:val="002661F3"/>
    <w:rsid w:val="002665CE"/>
    <w:rsid w:val="002674B3"/>
    <w:rsid w:val="002677F5"/>
    <w:rsid w:val="00267E9B"/>
    <w:rsid w:val="00271629"/>
    <w:rsid w:val="00271718"/>
    <w:rsid w:val="00271C2C"/>
    <w:rsid w:val="002722F5"/>
    <w:rsid w:val="00272474"/>
    <w:rsid w:val="00272485"/>
    <w:rsid w:val="00272801"/>
    <w:rsid w:val="00272BD2"/>
    <w:rsid w:val="00272CEB"/>
    <w:rsid w:val="00272E12"/>
    <w:rsid w:val="00272F4E"/>
    <w:rsid w:val="0027336A"/>
    <w:rsid w:val="002735E9"/>
    <w:rsid w:val="00273B4E"/>
    <w:rsid w:val="0027498F"/>
    <w:rsid w:val="00274A37"/>
    <w:rsid w:val="00274EE7"/>
    <w:rsid w:val="00275417"/>
    <w:rsid w:val="00275492"/>
    <w:rsid w:val="0027599B"/>
    <w:rsid w:val="00275BF0"/>
    <w:rsid w:val="00275BF3"/>
    <w:rsid w:val="0027657D"/>
    <w:rsid w:val="002774CC"/>
    <w:rsid w:val="00277947"/>
    <w:rsid w:val="00277A17"/>
    <w:rsid w:val="00277B0D"/>
    <w:rsid w:val="00277DE1"/>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52C"/>
    <w:rsid w:val="00285C09"/>
    <w:rsid w:val="00285D31"/>
    <w:rsid w:val="00286094"/>
    <w:rsid w:val="002865CA"/>
    <w:rsid w:val="00287CBD"/>
    <w:rsid w:val="00287FC6"/>
    <w:rsid w:val="00290AD4"/>
    <w:rsid w:val="002917ED"/>
    <w:rsid w:val="00292710"/>
    <w:rsid w:val="00293570"/>
    <w:rsid w:val="002935B1"/>
    <w:rsid w:val="00293778"/>
    <w:rsid w:val="0029383A"/>
    <w:rsid w:val="00293C2E"/>
    <w:rsid w:val="00293F6D"/>
    <w:rsid w:val="002942C3"/>
    <w:rsid w:val="00294BA7"/>
    <w:rsid w:val="00294C76"/>
    <w:rsid w:val="00294EEE"/>
    <w:rsid w:val="00295345"/>
    <w:rsid w:val="00295E7B"/>
    <w:rsid w:val="0029647B"/>
    <w:rsid w:val="00296E84"/>
    <w:rsid w:val="0029785A"/>
    <w:rsid w:val="002A0ABB"/>
    <w:rsid w:val="002A1115"/>
    <w:rsid w:val="002A18BB"/>
    <w:rsid w:val="002A24D7"/>
    <w:rsid w:val="002A28D6"/>
    <w:rsid w:val="002A2BC1"/>
    <w:rsid w:val="002A503A"/>
    <w:rsid w:val="002A5247"/>
    <w:rsid w:val="002A5D23"/>
    <w:rsid w:val="002A5DE0"/>
    <w:rsid w:val="002A62EC"/>
    <w:rsid w:val="002A63A4"/>
    <w:rsid w:val="002A63B9"/>
    <w:rsid w:val="002A67E5"/>
    <w:rsid w:val="002A67F0"/>
    <w:rsid w:val="002A71A6"/>
    <w:rsid w:val="002A7805"/>
    <w:rsid w:val="002B0B57"/>
    <w:rsid w:val="002B1023"/>
    <w:rsid w:val="002B11E7"/>
    <w:rsid w:val="002B12C0"/>
    <w:rsid w:val="002B208E"/>
    <w:rsid w:val="002B2154"/>
    <w:rsid w:val="002B2601"/>
    <w:rsid w:val="002B27B1"/>
    <w:rsid w:val="002B2C12"/>
    <w:rsid w:val="002B3716"/>
    <w:rsid w:val="002B3921"/>
    <w:rsid w:val="002B3987"/>
    <w:rsid w:val="002B4758"/>
    <w:rsid w:val="002B4870"/>
    <w:rsid w:val="002B4DA6"/>
    <w:rsid w:val="002B54E2"/>
    <w:rsid w:val="002B5CF8"/>
    <w:rsid w:val="002B61DC"/>
    <w:rsid w:val="002B620A"/>
    <w:rsid w:val="002B64AF"/>
    <w:rsid w:val="002B690C"/>
    <w:rsid w:val="002B767A"/>
    <w:rsid w:val="002B76AA"/>
    <w:rsid w:val="002B7BC0"/>
    <w:rsid w:val="002B7F0F"/>
    <w:rsid w:val="002C02C3"/>
    <w:rsid w:val="002C0A45"/>
    <w:rsid w:val="002C0BDD"/>
    <w:rsid w:val="002C0F91"/>
    <w:rsid w:val="002C1958"/>
    <w:rsid w:val="002C1AAB"/>
    <w:rsid w:val="002C1BD5"/>
    <w:rsid w:val="002C28AC"/>
    <w:rsid w:val="002C2E4F"/>
    <w:rsid w:val="002C3091"/>
    <w:rsid w:val="002C32BD"/>
    <w:rsid w:val="002C34D2"/>
    <w:rsid w:val="002C3EBC"/>
    <w:rsid w:val="002C43CC"/>
    <w:rsid w:val="002C45EB"/>
    <w:rsid w:val="002C4A53"/>
    <w:rsid w:val="002C4C83"/>
    <w:rsid w:val="002C53DB"/>
    <w:rsid w:val="002C5571"/>
    <w:rsid w:val="002C5EB5"/>
    <w:rsid w:val="002C65C4"/>
    <w:rsid w:val="002C6B21"/>
    <w:rsid w:val="002C6E50"/>
    <w:rsid w:val="002C6F78"/>
    <w:rsid w:val="002C711B"/>
    <w:rsid w:val="002C7DD7"/>
    <w:rsid w:val="002C7F6B"/>
    <w:rsid w:val="002C7FE0"/>
    <w:rsid w:val="002D0C32"/>
    <w:rsid w:val="002D0DE8"/>
    <w:rsid w:val="002D178D"/>
    <w:rsid w:val="002D1919"/>
    <w:rsid w:val="002D1D8B"/>
    <w:rsid w:val="002D254F"/>
    <w:rsid w:val="002D331D"/>
    <w:rsid w:val="002D383C"/>
    <w:rsid w:val="002D3C08"/>
    <w:rsid w:val="002D4F03"/>
    <w:rsid w:val="002D518C"/>
    <w:rsid w:val="002D5427"/>
    <w:rsid w:val="002D54EE"/>
    <w:rsid w:val="002D5642"/>
    <w:rsid w:val="002D58BE"/>
    <w:rsid w:val="002D6574"/>
    <w:rsid w:val="002D6F69"/>
    <w:rsid w:val="002E02EB"/>
    <w:rsid w:val="002E0978"/>
    <w:rsid w:val="002E0B6C"/>
    <w:rsid w:val="002E11F2"/>
    <w:rsid w:val="002E1781"/>
    <w:rsid w:val="002E188B"/>
    <w:rsid w:val="002E2A4A"/>
    <w:rsid w:val="002E2E53"/>
    <w:rsid w:val="002E2F17"/>
    <w:rsid w:val="002E3217"/>
    <w:rsid w:val="002E327E"/>
    <w:rsid w:val="002E3612"/>
    <w:rsid w:val="002E37E7"/>
    <w:rsid w:val="002E3FC2"/>
    <w:rsid w:val="002E3FD2"/>
    <w:rsid w:val="002E4267"/>
    <w:rsid w:val="002E4DE1"/>
    <w:rsid w:val="002E4EDE"/>
    <w:rsid w:val="002E51B0"/>
    <w:rsid w:val="002E557E"/>
    <w:rsid w:val="002E56DE"/>
    <w:rsid w:val="002E6958"/>
    <w:rsid w:val="002E6C98"/>
    <w:rsid w:val="002E7065"/>
    <w:rsid w:val="002E7687"/>
    <w:rsid w:val="002E7C97"/>
    <w:rsid w:val="002F0321"/>
    <w:rsid w:val="002F0564"/>
    <w:rsid w:val="002F072E"/>
    <w:rsid w:val="002F08A5"/>
    <w:rsid w:val="002F08F0"/>
    <w:rsid w:val="002F1E21"/>
    <w:rsid w:val="002F28F9"/>
    <w:rsid w:val="002F2FB3"/>
    <w:rsid w:val="002F3283"/>
    <w:rsid w:val="002F365D"/>
    <w:rsid w:val="002F36EE"/>
    <w:rsid w:val="002F36FB"/>
    <w:rsid w:val="002F3DAA"/>
    <w:rsid w:val="002F453E"/>
    <w:rsid w:val="002F45B3"/>
    <w:rsid w:val="002F46E5"/>
    <w:rsid w:val="002F48AE"/>
    <w:rsid w:val="002F4A93"/>
    <w:rsid w:val="002F4B66"/>
    <w:rsid w:val="002F5E29"/>
    <w:rsid w:val="002F6150"/>
    <w:rsid w:val="002F6169"/>
    <w:rsid w:val="002F62A7"/>
    <w:rsid w:val="002F6406"/>
    <w:rsid w:val="002F6B27"/>
    <w:rsid w:val="002F79D0"/>
    <w:rsid w:val="002F79E7"/>
    <w:rsid w:val="002F7E28"/>
    <w:rsid w:val="0030020B"/>
    <w:rsid w:val="00300599"/>
    <w:rsid w:val="00300A76"/>
    <w:rsid w:val="00301549"/>
    <w:rsid w:val="00301862"/>
    <w:rsid w:val="00301DCB"/>
    <w:rsid w:val="00301F56"/>
    <w:rsid w:val="0030222D"/>
    <w:rsid w:val="00302443"/>
    <w:rsid w:val="00302AF8"/>
    <w:rsid w:val="0030320F"/>
    <w:rsid w:val="00303872"/>
    <w:rsid w:val="00303E1B"/>
    <w:rsid w:val="00303F82"/>
    <w:rsid w:val="0030434B"/>
    <w:rsid w:val="00304C58"/>
    <w:rsid w:val="00304E72"/>
    <w:rsid w:val="00305885"/>
    <w:rsid w:val="00305E09"/>
    <w:rsid w:val="00306353"/>
    <w:rsid w:val="003067C0"/>
    <w:rsid w:val="003077B7"/>
    <w:rsid w:val="00307913"/>
    <w:rsid w:val="00310185"/>
    <w:rsid w:val="00310508"/>
    <w:rsid w:val="00310FB7"/>
    <w:rsid w:val="00311320"/>
    <w:rsid w:val="00311EAA"/>
    <w:rsid w:val="00312509"/>
    <w:rsid w:val="00313430"/>
    <w:rsid w:val="00313C9F"/>
    <w:rsid w:val="00313EBB"/>
    <w:rsid w:val="00314260"/>
    <w:rsid w:val="003145D6"/>
    <w:rsid w:val="00314677"/>
    <w:rsid w:val="00314690"/>
    <w:rsid w:val="00315FC6"/>
    <w:rsid w:val="0031635E"/>
    <w:rsid w:val="0031656B"/>
    <w:rsid w:val="003168E8"/>
    <w:rsid w:val="003173C8"/>
    <w:rsid w:val="00317642"/>
    <w:rsid w:val="00317767"/>
    <w:rsid w:val="00317BBA"/>
    <w:rsid w:val="00317D6E"/>
    <w:rsid w:val="00317DC1"/>
    <w:rsid w:val="0032048E"/>
    <w:rsid w:val="0032094C"/>
    <w:rsid w:val="00320FD5"/>
    <w:rsid w:val="0032100D"/>
    <w:rsid w:val="00321A0A"/>
    <w:rsid w:val="00321ACC"/>
    <w:rsid w:val="0032205E"/>
    <w:rsid w:val="00322300"/>
    <w:rsid w:val="003223AF"/>
    <w:rsid w:val="003224B8"/>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30F4E"/>
    <w:rsid w:val="003316FA"/>
    <w:rsid w:val="0033171E"/>
    <w:rsid w:val="00332021"/>
    <w:rsid w:val="00332F16"/>
    <w:rsid w:val="0033324A"/>
    <w:rsid w:val="00333991"/>
    <w:rsid w:val="00334342"/>
    <w:rsid w:val="00334395"/>
    <w:rsid w:val="003344C3"/>
    <w:rsid w:val="00334E75"/>
    <w:rsid w:val="00334E7F"/>
    <w:rsid w:val="00335689"/>
    <w:rsid w:val="00335785"/>
    <w:rsid w:val="00335F65"/>
    <w:rsid w:val="00335FB5"/>
    <w:rsid w:val="00336724"/>
    <w:rsid w:val="003367EA"/>
    <w:rsid w:val="0034005C"/>
    <w:rsid w:val="00340456"/>
    <w:rsid w:val="003409FD"/>
    <w:rsid w:val="00341138"/>
    <w:rsid w:val="003416BB"/>
    <w:rsid w:val="00341703"/>
    <w:rsid w:val="0034182E"/>
    <w:rsid w:val="003426E8"/>
    <w:rsid w:val="00342B8C"/>
    <w:rsid w:val="0034329B"/>
    <w:rsid w:val="003434FE"/>
    <w:rsid w:val="003437B1"/>
    <w:rsid w:val="00343C7A"/>
    <w:rsid w:val="003445A4"/>
    <w:rsid w:val="00344629"/>
    <w:rsid w:val="00344648"/>
    <w:rsid w:val="003448E7"/>
    <w:rsid w:val="00344D5C"/>
    <w:rsid w:val="00344FCD"/>
    <w:rsid w:val="00345069"/>
    <w:rsid w:val="003451D4"/>
    <w:rsid w:val="00345600"/>
    <w:rsid w:val="00345735"/>
    <w:rsid w:val="00345B5B"/>
    <w:rsid w:val="003462E0"/>
    <w:rsid w:val="0034694F"/>
    <w:rsid w:val="003469CB"/>
    <w:rsid w:val="003474DF"/>
    <w:rsid w:val="003475A5"/>
    <w:rsid w:val="0035062F"/>
    <w:rsid w:val="00350A6A"/>
    <w:rsid w:val="00350D6B"/>
    <w:rsid w:val="003513F1"/>
    <w:rsid w:val="00351690"/>
    <w:rsid w:val="00351F47"/>
    <w:rsid w:val="003528A4"/>
    <w:rsid w:val="003529DD"/>
    <w:rsid w:val="0035364C"/>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947"/>
    <w:rsid w:val="00361BD7"/>
    <w:rsid w:val="00361F01"/>
    <w:rsid w:val="00363456"/>
    <w:rsid w:val="003650E2"/>
    <w:rsid w:val="00365646"/>
    <w:rsid w:val="00365772"/>
    <w:rsid w:val="00366301"/>
    <w:rsid w:val="00366841"/>
    <w:rsid w:val="0036696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66C"/>
    <w:rsid w:val="003749A3"/>
    <w:rsid w:val="00374D22"/>
    <w:rsid w:val="00374E0D"/>
    <w:rsid w:val="0037521A"/>
    <w:rsid w:val="0037543B"/>
    <w:rsid w:val="003761FF"/>
    <w:rsid w:val="00376A45"/>
    <w:rsid w:val="00376B11"/>
    <w:rsid w:val="00376C0F"/>
    <w:rsid w:val="003777E7"/>
    <w:rsid w:val="00377C14"/>
    <w:rsid w:val="00377DF5"/>
    <w:rsid w:val="00377F40"/>
    <w:rsid w:val="003800A7"/>
    <w:rsid w:val="003807AC"/>
    <w:rsid w:val="0038109C"/>
    <w:rsid w:val="0038118B"/>
    <w:rsid w:val="00381B89"/>
    <w:rsid w:val="00382316"/>
    <w:rsid w:val="00382680"/>
    <w:rsid w:val="0038287F"/>
    <w:rsid w:val="00382992"/>
    <w:rsid w:val="00382C55"/>
    <w:rsid w:val="00382E52"/>
    <w:rsid w:val="003830DD"/>
    <w:rsid w:val="003832BC"/>
    <w:rsid w:val="00383C72"/>
    <w:rsid w:val="00383DF9"/>
    <w:rsid w:val="0038421A"/>
    <w:rsid w:val="003847EB"/>
    <w:rsid w:val="00384ACD"/>
    <w:rsid w:val="00384CBA"/>
    <w:rsid w:val="00385071"/>
    <w:rsid w:val="00385166"/>
    <w:rsid w:val="003852FE"/>
    <w:rsid w:val="00385475"/>
    <w:rsid w:val="0038614B"/>
    <w:rsid w:val="00386335"/>
    <w:rsid w:val="0038680C"/>
    <w:rsid w:val="00386B81"/>
    <w:rsid w:val="00386EA3"/>
    <w:rsid w:val="00386ED8"/>
    <w:rsid w:val="00386F2E"/>
    <w:rsid w:val="00387707"/>
    <w:rsid w:val="003903EC"/>
    <w:rsid w:val="00390CB5"/>
    <w:rsid w:val="00390ED1"/>
    <w:rsid w:val="00391DBF"/>
    <w:rsid w:val="00392D2C"/>
    <w:rsid w:val="00392D98"/>
    <w:rsid w:val="003930BA"/>
    <w:rsid w:val="00393E66"/>
    <w:rsid w:val="00394075"/>
    <w:rsid w:val="00394A92"/>
    <w:rsid w:val="00394F2D"/>
    <w:rsid w:val="00395074"/>
    <w:rsid w:val="00395B72"/>
    <w:rsid w:val="00395D4F"/>
    <w:rsid w:val="00395F3E"/>
    <w:rsid w:val="003962D1"/>
    <w:rsid w:val="0039659E"/>
    <w:rsid w:val="00396884"/>
    <w:rsid w:val="00396C50"/>
    <w:rsid w:val="00397384"/>
    <w:rsid w:val="003A004F"/>
    <w:rsid w:val="003A0839"/>
    <w:rsid w:val="003A0E52"/>
    <w:rsid w:val="003A1CD6"/>
    <w:rsid w:val="003A1D01"/>
    <w:rsid w:val="003A21E8"/>
    <w:rsid w:val="003A25C7"/>
    <w:rsid w:val="003A2B81"/>
    <w:rsid w:val="003A2BF9"/>
    <w:rsid w:val="003A3260"/>
    <w:rsid w:val="003A3B92"/>
    <w:rsid w:val="003A4150"/>
    <w:rsid w:val="003A4723"/>
    <w:rsid w:val="003A554E"/>
    <w:rsid w:val="003A56B0"/>
    <w:rsid w:val="003A5DE8"/>
    <w:rsid w:val="003A60F9"/>
    <w:rsid w:val="003A6F7F"/>
    <w:rsid w:val="003A6FBE"/>
    <w:rsid w:val="003A797F"/>
    <w:rsid w:val="003B00D8"/>
    <w:rsid w:val="003B059E"/>
    <w:rsid w:val="003B15BC"/>
    <w:rsid w:val="003B1A5E"/>
    <w:rsid w:val="003B1B6B"/>
    <w:rsid w:val="003B20CD"/>
    <w:rsid w:val="003B24B7"/>
    <w:rsid w:val="003B26AE"/>
    <w:rsid w:val="003B3525"/>
    <w:rsid w:val="003B392D"/>
    <w:rsid w:val="003B3C32"/>
    <w:rsid w:val="003B4095"/>
    <w:rsid w:val="003B40E9"/>
    <w:rsid w:val="003B43D6"/>
    <w:rsid w:val="003B44FE"/>
    <w:rsid w:val="003B4B61"/>
    <w:rsid w:val="003B518B"/>
    <w:rsid w:val="003B5558"/>
    <w:rsid w:val="003B60AC"/>
    <w:rsid w:val="003B6626"/>
    <w:rsid w:val="003B6859"/>
    <w:rsid w:val="003B6EDF"/>
    <w:rsid w:val="003B737D"/>
    <w:rsid w:val="003C09D9"/>
    <w:rsid w:val="003C19E9"/>
    <w:rsid w:val="003C1A26"/>
    <w:rsid w:val="003C22AF"/>
    <w:rsid w:val="003C25AE"/>
    <w:rsid w:val="003C275C"/>
    <w:rsid w:val="003C2764"/>
    <w:rsid w:val="003C2A5B"/>
    <w:rsid w:val="003C2D0A"/>
    <w:rsid w:val="003C3355"/>
    <w:rsid w:val="003C340A"/>
    <w:rsid w:val="003C3756"/>
    <w:rsid w:val="003C37C4"/>
    <w:rsid w:val="003C3DAD"/>
    <w:rsid w:val="003C3EA6"/>
    <w:rsid w:val="003C3EB3"/>
    <w:rsid w:val="003C40F5"/>
    <w:rsid w:val="003C499B"/>
    <w:rsid w:val="003C512A"/>
    <w:rsid w:val="003C5148"/>
    <w:rsid w:val="003C5567"/>
    <w:rsid w:val="003C5917"/>
    <w:rsid w:val="003C629C"/>
    <w:rsid w:val="003C6323"/>
    <w:rsid w:val="003C6399"/>
    <w:rsid w:val="003C6955"/>
    <w:rsid w:val="003C71BF"/>
    <w:rsid w:val="003C7986"/>
    <w:rsid w:val="003C7E1F"/>
    <w:rsid w:val="003D0067"/>
    <w:rsid w:val="003D02F7"/>
    <w:rsid w:val="003D06C2"/>
    <w:rsid w:val="003D09A7"/>
    <w:rsid w:val="003D0DA7"/>
    <w:rsid w:val="003D128A"/>
    <w:rsid w:val="003D15DF"/>
    <w:rsid w:val="003D1B1E"/>
    <w:rsid w:val="003D2246"/>
    <w:rsid w:val="003D23CD"/>
    <w:rsid w:val="003D27E8"/>
    <w:rsid w:val="003D2B16"/>
    <w:rsid w:val="003D324F"/>
    <w:rsid w:val="003D325F"/>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6B35"/>
    <w:rsid w:val="003D6E51"/>
    <w:rsid w:val="003D70E6"/>
    <w:rsid w:val="003D71AC"/>
    <w:rsid w:val="003D7378"/>
    <w:rsid w:val="003D74DA"/>
    <w:rsid w:val="003D76AA"/>
    <w:rsid w:val="003D794A"/>
    <w:rsid w:val="003E0179"/>
    <w:rsid w:val="003E022C"/>
    <w:rsid w:val="003E0A66"/>
    <w:rsid w:val="003E0AD3"/>
    <w:rsid w:val="003E162D"/>
    <w:rsid w:val="003E1727"/>
    <w:rsid w:val="003E1834"/>
    <w:rsid w:val="003E18BB"/>
    <w:rsid w:val="003E1C46"/>
    <w:rsid w:val="003E295B"/>
    <w:rsid w:val="003E29E2"/>
    <w:rsid w:val="003E2C3D"/>
    <w:rsid w:val="003E332C"/>
    <w:rsid w:val="003E3932"/>
    <w:rsid w:val="003E3E84"/>
    <w:rsid w:val="003E4324"/>
    <w:rsid w:val="003E4398"/>
    <w:rsid w:val="003E4A53"/>
    <w:rsid w:val="003E4C42"/>
    <w:rsid w:val="003E4CBD"/>
    <w:rsid w:val="003E5923"/>
    <w:rsid w:val="003E7088"/>
    <w:rsid w:val="003F0959"/>
    <w:rsid w:val="003F098A"/>
    <w:rsid w:val="003F0E40"/>
    <w:rsid w:val="003F135A"/>
    <w:rsid w:val="003F17F2"/>
    <w:rsid w:val="003F2021"/>
    <w:rsid w:val="003F23B3"/>
    <w:rsid w:val="003F2B9E"/>
    <w:rsid w:val="003F3131"/>
    <w:rsid w:val="003F3229"/>
    <w:rsid w:val="003F404F"/>
    <w:rsid w:val="003F41D8"/>
    <w:rsid w:val="003F44C7"/>
    <w:rsid w:val="003F4771"/>
    <w:rsid w:val="003F53C9"/>
    <w:rsid w:val="003F59D5"/>
    <w:rsid w:val="003F6388"/>
    <w:rsid w:val="003F65A1"/>
    <w:rsid w:val="003F703E"/>
    <w:rsid w:val="003F7DC4"/>
    <w:rsid w:val="004007F1"/>
    <w:rsid w:val="00400B95"/>
    <w:rsid w:val="0040103D"/>
    <w:rsid w:val="004011B9"/>
    <w:rsid w:val="00401201"/>
    <w:rsid w:val="00401476"/>
    <w:rsid w:val="00401659"/>
    <w:rsid w:val="0040177B"/>
    <w:rsid w:val="00401910"/>
    <w:rsid w:val="00401BB8"/>
    <w:rsid w:val="00401C87"/>
    <w:rsid w:val="00403331"/>
    <w:rsid w:val="00403353"/>
    <w:rsid w:val="004041F4"/>
    <w:rsid w:val="00404715"/>
    <w:rsid w:val="0040473A"/>
    <w:rsid w:val="004049E2"/>
    <w:rsid w:val="00404C16"/>
    <w:rsid w:val="00404DB9"/>
    <w:rsid w:val="00404E8B"/>
    <w:rsid w:val="00405249"/>
    <w:rsid w:val="00405336"/>
    <w:rsid w:val="00405A46"/>
    <w:rsid w:val="00405EA2"/>
    <w:rsid w:val="00406772"/>
    <w:rsid w:val="00406822"/>
    <w:rsid w:val="004074AC"/>
    <w:rsid w:val="00407C47"/>
    <w:rsid w:val="00410082"/>
    <w:rsid w:val="004117F5"/>
    <w:rsid w:val="00412653"/>
    <w:rsid w:val="00413258"/>
    <w:rsid w:val="004135E1"/>
    <w:rsid w:val="004137D9"/>
    <w:rsid w:val="0041428D"/>
    <w:rsid w:val="004142BD"/>
    <w:rsid w:val="004145B2"/>
    <w:rsid w:val="00414B15"/>
    <w:rsid w:val="004152BF"/>
    <w:rsid w:val="00415330"/>
    <w:rsid w:val="00416938"/>
    <w:rsid w:val="00416A4A"/>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68FE"/>
    <w:rsid w:val="00426C91"/>
    <w:rsid w:val="00427A98"/>
    <w:rsid w:val="004301F8"/>
    <w:rsid w:val="004302A6"/>
    <w:rsid w:val="004305B2"/>
    <w:rsid w:val="00430AD7"/>
    <w:rsid w:val="00430C8D"/>
    <w:rsid w:val="00430F7F"/>
    <w:rsid w:val="0043113B"/>
    <w:rsid w:val="004314D6"/>
    <w:rsid w:val="00431993"/>
    <w:rsid w:val="00431ADE"/>
    <w:rsid w:val="00431B1E"/>
    <w:rsid w:val="00431D8B"/>
    <w:rsid w:val="00432366"/>
    <w:rsid w:val="004324DF"/>
    <w:rsid w:val="00432D0B"/>
    <w:rsid w:val="00433224"/>
    <w:rsid w:val="004335E1"/>
    <w:rsid w:val="00433652"/>
    <w:rsid w:val="004339D7"/>
    <w:rsid w:val="00433E95"/>
    <w:rsid w:val="00433F30"/>
    <w:rsid w:val="00434074"/>
    <w:rsid w:val="00434681"/>
    <w:rsid w:val="00434984"/>
    <w:rsid w:val="0043684E"/>
    <w:rsid w:val="00436DB4"/>
    <w:rsid w:val="0043710F"/>
    <w:rsid w:val="00437690"/>
    <w:rsid w:val="00437BE8"/>
    <w:rsid w:val="00440710"/>
    <w:rsid w:val="00441201"/>
    <w:rsid w:val="00442949"/>
    <w:rsid w:val="00442C1B"/>
    <w:rsid w:val="00443917"/>
    <w:rsid w:val="00443DDF"/>
    <w:rsid w:val="00444742"/>
    <w:rsid w:val="00444EAD"/>
    <w:rsid w:val="00445147"/>
    <w:rsid w:val="00445242"/>
    <w:rsid w:val="004452D3"/>
    <w:rsid w:val="00445777"/>
    <w:rsid w:val="004460E6"/>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8FD"/>
    <w:rsid w:val="00456A7A"/>
    <w:rsid w:val="00456F91"/>
    <w:rsid w:val="00457712"/>
    <w:rsid w:val="00457D18"/>
    <w:rsid w:val="0046028C"/>
    <w:rsid w:val="004602F2"/>
    <w:rsid w:val="00460660"/>
    <w:rsid w:val="004608AF"/>
    <w:rsid w:val="00460D53"/>
    <w:rsid w:val="00461766"/>
    <w:rsid w:val="00461871"/>
    <w:rsid w:val="004619E3"/>
    <w:rsid w:val="004623CE"/>
    <w:rsid w:val="004623E3"/>
    <w:rsid w:val="0046291B"/>
    <w:rsid w:val="00462991"/>
    <w:rsid w:val="00462B5A"/>
    <w:rsid w:val="00462FAD"/>
    <w:rsid w:val="004630FD"/>
    <w:rsid w:val="0046356D"/>
    <w:rsid w:val="004639CD"/>
    <w:rsid w:val="00464272"/>
    <w:rsid w:val="00464FB6"/>
    <w:rsid w:val="00465677"/>
    <w:rsid w:val="004662A2"/>
    <w:rsid w:val="004669D4"/>
    <w:rsid w:val="004670D0"/>
    <w:rsid w:val="004671B4"/>
    <w:rsid w:val="0046724B"/>
    <w:rsid w:val="0047023D"/>
    <w:rsid w:val="004703BB"/>
    <w:rsid w:val="004714B8"/>
    <w:rsid w:val="0047162A"/>
    <w:rsid w:val="0047190C"/>
    <w:rsid w:val="00471BB8"/>
    <w:rsid w:val="00471E73"/>
    <w:rsid w:val="00472325"/>
    <w:rsid w:val="00472562"/>
    <w:rsid w:val="0047271C"/>
    <w:rsid w:val="004739FE"/>
    <w:rsid w:val="00473BA5"/>
    <w:rsid w:val="00474120"/>
    <w:rsid w:val="004749F9"/>
    <w:rsid w:val="00474F00"/>
    <w:rsid w:val="00475565"/>
    <w:rsid w:val="0047576E"/>
    <w:rsid w:val="004757F3"/>
    <w:rsid w:val="00475C30"/>
    <w:rsid w:val="00476226"/>
    <w:rsid w:val="0047646C"/>
    <w:rsid w:val="00476544"/>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63"/>
    <w:rsid w:val="0048338C"/>
    <w:rsid w:val="00483AFF"/>
    <w:rsid w:val="00484026"/>
    <w:rsid w:val="0048418A"/>
    <w:rsid w:val="00484E30"/>
    <w:rsid w:val="004857F6"/>
    <w:rsid w:val="00485B1F"/>
    <w:rsid w:val="00485CAC"/>
    <w:rsid w:val="00485FD4"/>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70F"/>
    <w:rsid w:val="004959B5"/>
    <w:rsid w:val="00495DB4"/>
    <w:rsid w:val="00495F24"/>
    <w:rsid w:val="00495F73"/>
    <w:rsid w:val="004960B6"/>
    <w:rsid w:val="00496D3E"/>
    <w:rsid w:val="004973CF"/>
    <w:rsid w:val="004977CF"/>
    <w:rsid w:val="00497FB2"/>
    <w:rsid w:val="004A0014"/>
    <w:rsid w:val="004A068C"/>
    <w:rsid w:val="004A0763"/>
    <w:rsid w:val="004A0E63"/>
    <w:rsid w:val="004A0F54"/>
    <w:rsid w:val="004A15FC"/>
    <w:rsid w:val="004A1A72"/>
    <w:rsid w:val="004A20EB"/>
    <w:rsid w:val="004A3C82"/>
    <w:rsid w:val="004A3D6C"/>
    <w:rsid w:val="004A3D8E"/>
    <w:rsid w:val="004A441F"/>
    <w:rsid w:val="004A46BD"/>
    <w:rsid w:val="004A4909"/>
    <w:rsid w:val="004A5C61"/>
    <w:rsid w:val="004A5FD5"/>
    <w:rsid w:val="004A66B0"/>
    <w:rsid w:val="004A721D"/>
    <w:rsid w:val="004A7A53"/>
    <w:rsid w:val="004B0AD6"/>
    <w:rsid w:val="004B0E52"/>
    <w:rsid w:val="004B0F93"/>
    <w:rsid w:val="004B117A"/>
    <w:rsid w:val="004B1196"/>
    <w:rsid w:val="004B165F"/>
    <w:rsid w:val="004B1945"/>
    <w:rsid w:val="004B1AC0"/>
    <w:rsid w:val="004B1BDD"/>
    <w:rsid w:val="004B1C15"/>
    <w:rsid w:val="004B1E8A"/>
    <w:rsid w:val="004B2272"/>
    <w:rsid w:val="004B2607"/>
    <w:rsid w:val="004B2F5C"/>
    <w:rsid w:val="004B2F73"/>
    <w:rsid w:val="004B38F7"/>
    <w:rsid w:val="004B3C0B"/>
    <w:rsid w:val="004B3E8C"/>
    <w:rsid w:val="004B454D"/>
    <w:rsid w:val="004B4990"/>
    <w:rsid w:val="004B60B9"/>
    <w:rsid w:val="004B6609"/>
    <w:rsid w:val="004B6677"/>
    <w:rsid w:val="004B7155"/>
    <w:rsid w:val="004B7534"/>
    <w:rsid w:val="004B7861"/>
    <w:rsid w:val="004B7980"/>
    <w:rsid w:val="004C19AE"/>
    <w:rsid w:val="004C1A9D"/>
    <w:rsid w:val="004C1F4F"/>
    <w:rsid w:val="004C277B"/>
    <w:rsid w:val="004C2788"/>
    <w:rsid w:val="004C2B2E"/>
    <w:rsid w:val="004C2E99"/>
    <w:rsid w:val="004C3648"/>
    <w:rsid w:val="004C44E3"/>
    <w:rsid w:val="004C4965"/>
    <w:rsid w:val="004C52E6"/>
    <w:rsid w:val="004C547B"/>
    <w:rsid w:val="004C55E3"/>
    <w:rsid w:val="004C5729"/>
    <w:rsid w:val="004C57B7"/>
    <w:rsid w:val="004C5AE4"/>
    <w:rsid w:val="004C60F1"/>
    <w:rsid w:val="004C682A"/>
    <w:rsid w:val="004C6883"/>
    <w:rsid w:val="004C6A73"/>
    <w:rsid w:val="004C79D7"/>
    <w:rsid w:val="004D0124"/>
    <w:rsid w:val="004D0C4D"/>
    <w:rsid w:val="004D10AA"/>
    <w:rsid w:val="004D10FF"/>
    <w:rsid w:val="004D1392"/>
    <w:rsid w:val="004D1992"/>
    <w:rsid w:val="004D1A5E"/>
    <w:rsid w:val="004D2067"/>
    <w:rsid w:val="004D227F"/>
    <w:rsid w:val="004D229C"/>
    <w:rsid w:val="004D23D4"/>
    <w:rsid w:val="004D2AF3"/>
    <w:rsid w:val="004D2E9D"/>
    <w:rsid w:val="004D3913"/>
    <w:rsid w:val="004D3B52"/>
    <w:rsid w:val="004D3C42"/>
    <w:rsid w:val="004D3E8B"/>
    <w:rsid w:val="004D3F58"/>
    <w:rsid w:val="004D4536"/>
    <w:rsid w:val="004D45CD"/>
    <w:rsid w:val="004D4627"/>
    <w:rsid w:val="004D5692"/>
    <w:rsid w:val="004D6616"/>
    <w:rsid w:val="004D6F88"/>
    <w:rsid w:val="004D7542"/>
    <w:rsid w:val="004D7AD2"/>
    <w:rsid w:val="004D7FC7"/>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3025"/>
    <w:rsid w:val="004E3586"/>
    <w:rsid w:val="004E36BB"/>
    <w:rsid w:val="004E3860"/>
    <w:rsid w:val="004E3B3C"/>
    <w:rsid w:val="004E3D5A"/>
    <w:rsid w:val="004E3D79"/>
    <w:rsid w:val="004E3DBD"/>
    <w:rsid w:val="004E3FF9"/>
    <w:rsid w:val="004E42B5"/>
    <w:rsid w:val="004E4BC8"/>
    <w:rsid w:val="004E4CC5"/>
    <w:rsid w:val="004E4ECF"/>
    <w:rsid w:val="004E5443"/>
    <w:rsid w:val="004E5E88"/>
    <w:rsid w:val="004E5E8D"/>
    <w:rsid w:val="004E61C1"/>
    <w:rsid w:val="004E6228"/>
    <w:rsid w:val="004E6E7A"/>
    <w:rsid w:val="004E71A8"/>
    <w:rsid w:val="004E7A0E"/>
    <w:rsid w:val="004E7DB6"/>
    <w:rsid w:val="004E7E65"/>
    <w:rsid w:val="004F0386"/>
    <w:rsid w:val="004F0457"/>
    <w:rsid w:val="004F1713"/>
    <w:rsid w:val="004F1BA7"/>
    <w:rsid w:val="004F1E1C"/>
    <w:rsid w:val="004F1F0C"/>
    <w:rsid w:val="004F1FFE"/>
    <w:rsid w:val="004F2296"/>
    <w:rsid w:val="004F3912"/>
    <w:rsid w:val="004F3C7B"/>
    <w:rsid w:val="004F4772"/>
    <w:rsid w:val="004F566C"/>
    <w:rsid w:val="004F5ADA"/>
    <w:rsid w:val="004F5E06"/>
    <w:rsid w:val="004F63C8"/>
    <w:rsid w:val="004F6938"/>
    <w:rsid w:val="004F6F75"/>
    <w:rsid w:val="004F7046"/>
    <w:rsid w:val="004F70CE"/>
    <w:rsid w:val="004F72C7"/>
    <w:rsid w:val="004F7333"/>
    <w:rsid w:val="00500736"/>
    <w:rsid w:val="005016C0"/>
    <w:rsid w:val="00502747"/>
    <w:rsid w:val="0050296C"/>
    <w:rsid w:val="00502B79"/>
    <w:rsid w:val="00502DD5"/>
    <w:rsid w:val="00503316"/>
    <w:rsid w:val="005034DC"/>
    <w:rsid w:val="00503A04"/>
    <w:rsid w:val="005048E5"/>
    <w:rsid w:val="00504B1F"/>
    <w:rsid w:val="00505F80"/>
    <w:rsid w:val="005060E8"/>
    <w:rsid w:val="005061F6"/>
    <w:rsid w:val="0050632C"/>
    <w:rsid w:val="00506384"/>
    <w:rsid w:val="005071CC"/>
    <w:rsid w:val="0050770E"/>
    <w:rsid w:val="005104EE"/>
    <w:rsid w:val="00510778"/>
    <w:rsid w:val="00511185"/>
    <w:rsid w:val="00511220"/>
    <w:rsid w:val="00511EB5"/>
    <w:rsid w:val="0051219A"/>
    <w:rsid w:val="00512B07"/>
    <w:rsid w:val="00513422"/>
    <w:rsid w:val="005138EF"/>
    <w:rsid w:val="00513D14"/>
    <w:rsid w:val="005141E6"/>
    <w:rsid w:val="005143A1"/>
    <w:rsid w:val="005144F3"/>
    <w:rsid w:val="005146C1"/>
    <w:rsid w:val="005149D9"/>
    <w:rsid w:val="00514A82"/>
    <w:rsid w:val="00514D38"/>
    <w:rsid w:val="00515071"/>
    <w:rsid w:val="00515561"/>
    <w:rsid w:val="005156EB"/>
    <w:rsid w:val="0051594B"/>
    <w:rsid w:val="005159CA"/>
    <w:rsid w:val="00515D05"/>
    <w:rsid w:val="005164DD"/>
    <w:rsid w:val="005166F7"/>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6BF8"/>
    <w:rsid w:val="00527B42"/>
    <w:rsid w:val="00530C7E"/>
    <w:rsid w:val="00530D12"/>
    <w:rsid w:val="00530D4B"/>
    <w:rsid w:val="005314A3"/>
    <w:rsid w:val="00531949"/>
    <w:rsid w:val="0053196D"/>
    <w:rsid w:val="00531BC6"/>
    <w:rsid w:val="00531BC9"/>
    <w:rsid w:val="005329D0"/>
    <w:rsid w:val="0053312F"/>
    <w:rsid w:val="00533F1F"/>
    <w:rsid w:val="00533FD2"/>
    <w:rsid w:val="00534512"/>
    <w:rsid w:val="00534671"/>
    <w:rsid w:val="00534F54"/>
    <w:rsid w:val="0053510B"/>
    <w:rsid w:val="00536032"/>
    <w:rsid w:val="00536085"/>
    <w:rsid w:val="005363DC"/>
    <w:rsid w:val="005365D3"/>
    <w:rsid w:val="005366C3"/>
    <w:rsid w:val="00536748"/>
    <w:rsid w:val="0053690F"/>
    <w:rsid w:val="005369EC"/>
    <w:rsid w:val="00537163"/>
    <w:rsid w:val="00537714"/>
    <w:rsid w:val="00537B30"/>
    <w:rsid w:val="00537DCB"/>
    <w:rsid w:val="00540316"/>
    <w:rsid w:val="0054080C"/>
    <w:rsid w:val="00540D57"/>
    <w:rsid w:val="0054135D"/>
    <w:rsid w:val="005418A7"/>
    <w:rsid w:val="00542340"/>
    <w:rsid w:val="00542AC7"/>
    <w:rsid w:val="00542D1D"/>
    <w:rsid w:val="00542E35"/>
    <w:rsid w:val="0054314D"/>
    <w:rsid w:val="00543643"/>
    <w:rsid w:val="00544E01"/>
    <w:rsid w:val="0054527E"/>
    <w:rsid w:val="0054569B"/>
    <w:rsid w:val="0054583B"/>
    <w:rsid w:val="00545ED4"/>
    <w:rsid w:val="00545F5D"/>
    <w:rsid w:val="005469AB"/>
    <w:rsid w:val="0054734E"/>
    <w:rsid w:val="005478A9"/>
    <w:rsid w:val="005479AE"/>
    <w:rsid w:val="00547B03"/>
    <w:rsid w:val="00547E51"/>
    <w:rsid w:val="005508F2"/>
    <w:rsid w:val="005518F6"/>
    <w:rsid w:val="0055206F"/>
    <w:rsid w:val="00552B06"/>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F4"/>
    <w:rsid w:val="00563272"/>
    <w:rsid w:val="0056385C"/>
    <w:rsid w:val="00563F83"/>
    <w:rsid w:val="005641A5"/>
    <w:rsid w:val="005647EC"/>
    <w:rsid w:val="00564895"/>
    <w:rsid w:val="00564D66"/>
    <w:rsid w:val="00565B19"/>
    <w:rsid w:val="00565F13"/>
    <w:rsid w:val="0056675F"/>
    <w:rsid w:val="00566974"/>
    <w:rsid w:val="00566B23"/>
    <w:rsid w:val="00566E96"/>
    <w:rsid w:val="005671D3"/>
    <w:rsid w:val="00567470"/>
    <w:rsid w:val="00567879"/>
    <w:rsid w:val="00567D86"/>
    <w:rsid w:val="00570621"/>
    <w:rsid w:val="00571EC2"/>
    <w:rsid w:val="00572EDF"/>
    <w:rsid w:val="00572F09"/>
    <w:rsid w:val="00573624"/>
    <w:rsid w:val="005737A9"/>
    <w:rsid w:val="00573DD3"/>
    <w:rsid w:val="00573FB2"/>
    <w:rsid w:val="00574171"/>
    <w:rsid w:val="00574487"/>
    <w:rsid w:val="005745D1"/>
    <w:rsid w:val="00574A93"/>
    <w:rsid w:val="0057679D"/>
    <w:rsid w:val="0057691C"/>
    <w:rsid w:val="0057693F"/>
    <w:rsid w:val="00577B8A"/>
    <w:rsid w:val="00580563"/>
    <w:rsid w:val="00580C4F"/>
    <w:rsid w:val="00581B0F"/>
    <w:rsid w:val="00581FCB"/>
    <w:rsid w:val="0058229E"/>
    <w:rsid w:val="00583472"/>
    <w:rsid w:val="00584280"/>
    <w:rsid w:val="005842EB"/>
    <w:rsid w:val="00584AE7"/>
    <w:rsid w:val="00584EFE"/>
    <w:rsid w:val="005855F5"/>
    <w:rsid w:val="005867B7"/>
    <w:rsid w:val="0058686C"/>
    <w:rsid w:val="00586A9B"/>
    <w:rsid w:val="005879E5"/>
    <w:rsid w:val="00587B12"/>
    <w:rsid w:val="005901DB"/>
    <w:rsid w:val="005904E0"/>
    <w:rsid w:val="0059127D"/>
    <w:rsid w:val="00591645"/>
    <w:rsid w:val="00591F24"/>
    <w:rsid w:val="00592319"/>
    <w:rsid w:val="0059290D"/>
    <w:rsid w:val="0059321E"/>
    <w:rsid w:val="00593296"/>
    <w:rsid w:val="0059364C"/>
    <w:rsid w:val="0059399E"/>
    <w:rsid w:val="00593A00"/>
    <w:rsid w:val="00593CAA"/>
    <w:rsid w:val="00594060"/>
    <w:rsid w:val="0059489B"/>
    <w:rsid w:val="00595398"/>
    <w:rsid w:val="00595C93"/>
    <w:rsid w:val="005963D8"/>
    <w:rsid w:val="005965F7"/>
    <w:rsid w:val="00596D4F"/>
    <w:rsid w:val="005972FF"/>
    <w:rsid w:val="005975F4"/>
    <w:rsid w:val="005979D3"/>
    <w:rsid w:val="00597D16"/>
    <w:rsid w:val="00597E0D"/>
    <w:rsid w:val="005A0A95"/>
    <w:rsid w:val="005A0C51"/>
    <w:rsid w:val="005A0E08"/>
    <w:rsid w:val="005A1152"/>
    <w:rsid w:val="005A1FC2"/>
    <w:rsid w:val="005A22FA"/>
    <w:rsid w:val="005A27D4"/>
    <w:rsid w:val="005A2A46"/>
    <w:rsid w:val="005A3421"/>
    <w:rsid w:val="005A3436"/>
    <w:rsid w:val="005A35AD"/>
    <w:rsid w:val="005A3F1F"/>
    <w:rsid w:val="005A42AC"/>
    <w:rsid w:val="005A443A"/>
    <w:rsid w:val="005A44A2"/>
    <w:rsid w:val="005A4501"/>
    <w:rsid w:val="005A450C"/>
    <w:rsid w:val="005A4A92"/>
    <w:rsid w:val="005A5581"/>
    <w:rsid w:val="005A5CB3"/>
    <w:rsid w:val="005A73DE"/>
    <w:rsid w:val="005A7426"/>
    <w:rsid w:val="005A7587"/>
    <w:rsid w:val="005A767A"/>
    <w:rsid w:val="005A782E"/>
    <w:rsid w:val="005B06C1"/>
    <w:rsid w:val="005B08A9"/>
    <w:rsid w:val="005B097B"/>
    <w:rsid w:val="005B0BBE"/>
    <w:rsid w:val="005B0FA2"/>
    <w:rsid w:val="005B1069"/>
    <w:rsid w:val="005B10F7"/>
    <w:rsid w:val="005B171E"/>
    <w:rsid w:val="005B1BD8"/>
    <w:rsid w:val="005B1C38"/>
    <w:rsid w:val="005B201C"/>
    <w:rsid w:val="005B213E"/>
    <w:rsid w:val="005B2CF4"/>
    <w:rsid w:val="005B2D63"/>
    <w:rsid w:val="005B3674"/>
    <w:rsid w:val="005B3682"/>
    <w:rsid w:val="005B397D"/>
    <w:rsid w:val="005B3A59"/>
    <w:rsid w:val="005B3B17"/>
    <w:rsid w:val="005B3D49"/>
    <w:rsid w:val="005B3F19"/>
    <w:rsid w:val="005B404B"/>
    <w:rsid w:val="005B4065"/>
    <w:rsid w:val="005B4400"/>
    <w:rsid w:val="005B466A"/>
    <w:rsid w:val="005B5053"/>
    <w:rsid w:val="005B52CD"/>
    <w:rsid w:val="005B5855"/>
    <w:rsid w:val="005B5DCE"/>
    <w:rsid w:val="005B64D0"/>
    <w:rsid w:val="005B7AC0"/>
    <w:rsid w:val="005B7FB6"/>
    <w:rsid w:val="005C007F"/>
    <w:rsid w:val="005C0FA1"/>
    <w:rsid w:val="005C11C0"/>
    <w:rsid w:val="005C1460"/>
    <w:rsid w:val="005C1B7C"/>
    <w:rsid w:val="005C22F0"/>
    <w:rsid w:val="005C259E"/>
    <w:rsid w:val="005C2C55"/>
    <w:rsid w:val="005C377B"/>
    <w:rsid w:val="005C3DEE"/>
    <w:rsid w:val="005C3F42"/>
    <w:rsid w:val="005C3F91"/>
    <w:rsid w:val="005C4360"/>
    <w:rsid w:val="005C4853"/>
    <w:rsid w:val="005C4ABE"/>
    <w:rsid w:val="005C548E"/>
    <w:rsid w:val="005C553A"/>
    <w:rsid w:val="005C659F"/>
    <w:rsid w:val="005C66BD"/>
    <w:rsid w:val="005C6C94"/>
    <w:rsid w:val="005C72C8"/>
    <w:rsid w:val="005C7927"/>
    <w:rsid w:val="005C7DF7"/>
    <w:rsid w:val="005D097C"/>
    <w:rsid w:val="005D0A95"/>
    <w:rsid w:val="005D0B5D"/>
    <w:rsid w:val="005D13E7"/>
    <w:rsid w:val="005D176C"/>
    <w:rsid w:val="005D1E89"/>
    <w:rsid w:val="005D2735"/>
    <w:rsid w:val="005D2969"/>
    <w:rsid w:val="005D29AB"/>
    <w:rsid w:val="005D29FE"/>
    <w:rsid w:val="005D3840"/>
    <w:rsid w:val="005D39AE"/>
    <w:rsid w:val="005D40BB"/>
    <w:rsid w:val="005D4DFA"/>
    <w:rsid w:val="005D4F98"/>
    <w:rsid w:val="005D51C5"/>
    <w:rsid w:val="005D5968"/>
    <w:rsid w:val="005D5A01"/>
    <w:rsid w:val="005D5E5A"/>
    <w:rsid w:val="005D6717"/>
    <w:rsid w:val="005D6952"/>
    <w:rsid w:val="005D72A6"/>
    <w:rsid w:val="005D7CFC"/>
    <w:rsid w:val="005D7F1F"/>
    <w:rsid w:val="005E023A"/>
    <w:rsid w:val="005E0D13"/>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6E8E"/>
    <w:rsid w:val="005E7345"/>
    <w:rsid w:val="005E7B7A"/>
    <w:rsid w:val="005F0308"/>
    <w:rsid w:val="005F052B"/>
    <w:rsid w:val="005F165F"/>
    <w:rsid w:val="005F27E3"/>
    <w:rsid w:val="005F295E"/>
    <w:rsid w:val="005F2EBA"/>
    <w:rsid w:val="005F358C"/>
    <w:rsid w:val="005F3B42"/>
    <w:rsid w:val="005F3E29"/>
    <w:rsid w:val="005F4260"/>
    <w:rsid w:val="005F4266"/>
    <w:rsid w:val="005F52DC"/>
    <w:rsid w:val="005F5655"/>
    <w:rsid w:val="005F56FC"/>
    <w:rsid w:val="005F589C"/>
    <w:rsid w:val="005F59B6"/>
    <w:rsid w:val="005F6258"/>
    <w:rsid w:val="005F6948"/>
    <w:rsid w:val="005F6CF0"/>
    <w:rsid w:val="005F6F53"/>
    <w:rsid w:val="005F760B"/>
    <w:rsid w:val="005F7FC6"/>
    <w:rsid w:val="00600094"/>
    <w:rsid w:val="00600D4D"/>
    <w:rsid w:val="00600E12"/>
    <w:rsid w:val="00600E6E"/>
    <w:rsid w:val="00600EF2"/>
    <w:rsid w:val="006011B5"/>
    <w:rsid w:val="00601E83"/>
    <w:rsid w:val="006026D0"/>
    <w:rsid w:val="0060294B"/>
    <w:rsid w:val="00602C5A"/>
    <w:rsid w:val="00602F22"/>
    <w:rsid w:val="00603D9A"/>
    <w:rsid w:val="006043E1"/>
    <w:rsid w:val="0060483B"/>
    <w:rsid w:val="00604A3A"/>
    <w:rsid w:val="00605182"/>
    <w:rsid w:val="00605A62"/>
    <w:rsid w:val="00605B72"/>
    <w:rsid w:val="00606776"/>
    <w:rsid w:val="00606C51"/>
    <w:rsid w:val="00606F2F"/>
    <w:rsid w:val="00607133"/>
    <w:rsid w:val="006074CB"/>
    <w:rsid w:val="006079ED"/>
    <w:rsid w:val="00607C4C"/>
    <w:rsid w:val="00607F47"/>
    <w:rsid w:val="00610451"/>
    <w:rsid w:val="006104B5"/>
    <w:rsid w:val="00610B59"/>
    <w:rsid w:val="00610F8A"/>
    <w:rsid w:val="00610F8B"/>
    <w:rsid w:val="00610FF4"/>
    <w:rsid w:val="00611010"/>
    <w:rsid w:val="006111DC"/>
    <w:rsid w:val="006114C7"/>
    <w:rsid w:val="006117BC"/>
    <w:rsid w:val="00611EDD"/>
    <w:rsid w:val="00612785"/>
    <w:rsid w:val="00612793"/>
    <w:rsid w:val="00612A49"/>
    <w:rsid w:val="00612D1A"/>
    <w:rsid w:val="00612D8C"/>
    <w:rsid w:val="00613869"/>
    <w:rsid w:val="00613961"/>
    <w:rsid w:val="00613E13"/>
    <w:rsid w:val="00614A38"/>
    <w:rsid w:val="00614B4F"/>
    <w:rsid w:val="00614BBE"/>
    <w:rsid w:val="00614D08"/>
    <w:rsid w:val="00614DC9"/>
    <w:rsid w:val="00614E5F"/>
    <w:rsid w:val="006151FE"/>
    <w:rsid w:val="006157A8"/>
    <w:rsid w:val="00615DC1"/>
    <w:rsid w:val="0061646C"/>
    <w:rsid w:val="00616C1E"/>
    <w:rsid w:val="006170ED"/>
    <w:rsid w:val="00617EF5"/>
    <w:rsid w:val="006208DB"/>
    <w:rsid w:val="00620F2B"/>
    <w:rsid w:val="0062185C"/>
    <w:rsid w:val="00621AD5"/>
    <w:rsid w:val="00621B05"/>
    <w:rsid w:val="00621C3A"/>
    <w:rsid w:val="00622ACC"/>
    <w:rsid w:val="0062357C"/>
    <w:rsid w:val="00623C6C"/>
    <w:rsid w:val="006246ED"/>
    <w:rsid w:val="00624744"/>
    <w:rsid w:val="006253EA"/>
    <w:rsid w:val="00625883"/>
    <w:rsid w:val="00625CCA"/>
    <w:rsid w:val="0062619D"/>
    <w:rsid w:val="006266F4"/>
    <w:rsid w:val="00626813"/>
    <w:rsid w:val="006269C2"/>
    <w:rsid w:val="00626BC3"/>
    <w:rsid w:val="00626D1C"/>
    <w:rsid w:val="00626DEA"/>
    <w:rsid w:val="00627A3A"/>
    <w:rsid w:val="00630316"/>
    <w:rsid w:val="006303D8"/>
    <w:rsid w:val="006305EC"/>
    <w:rsid w:val="006306B9"/>
    <w:rsid w:val="006307B0"/>
    <w:rsid w:val="006308A2"/>
    <w:rsid w:val="00630E36"/>
    <w:rsid w:val="00630F41"/>
    <w:rsid w:val="00631223"/>
    <w:rsid w:val="00631739"/>
    <w:rsid w:val="0063178D"/>
    <w:rsid w:val="00632298"/>
    <w:rsid w:val="0063255B"/>
    <w:rsid w:val="0063349C"/>
    <w:rsid w:val="00633DFE"/>
    <w:rsid w:val="00634479"/>
    <w:rsid w:val="00634500"/>
    <w:rsid w:val="00635C81"/>
    <w:rsid w:val="00636AA8"/>
    <w:rsid w:val="006374F9"/>
    <w:rsid w:val="00637E12"/>
    <w:rsid w:val="0064064F"/>
    <w:rsid w:val="006406F7"/>
    <w:rsid w:val="006409AF"/>
    <w:rsid w:val="00640A84"/>
    <w:rsid w:val="00640C8D"/>
    <w:rsid w:val="00640F45"/>
    <w:rsid w:val="006413BC"/>
    <w:rsid w:val="0064140D"/>
    <w:rsid w:val="00641745"/>
    <w:rsid w:val="00641FD0"/>
    <w:rsid w:val="006420E8"/>
    <w:rsid w:val="006421AF"/>
    <w:rsid w:val="00642A6F"/>
    <w:rsid w:val="00642AD9"/>
    <w:rsid w:val="00643243"/>
    <w:rsid w:val="006434EE"/>
    <w:rsid w:val="00643740"/>
    <w:rsid w:val="00643B59"/>
    <w:rsid w:val="00644018"/>
    <w:rsid w:val="006446ED"/>
    <w:rsid w:val="006451A3"/>
    <w:rsid w:val="00646717"/>
    <w:rsid w:val="006468DF"/>
    <w:rsid w:val="00646B9B"/>
    <w:rsid w:val="006470E3"/>
    <w:rsid w:val="006476C8"/>
    <w:rsid w:val="006500C1"/>
    <w:rsid w:val="00650904"/>
    <w:rsid w:val="00650F0B"/>
    <w:rsid w:val="0065107B"/>
    <w:rsid w:val="0065198D"/>
    <w:rsid w:val="006519A4"/>
    <w:rsid w:val="00651C87"/>
    <w:rsid w:val="0065299A"/>
    <w:rsid w:val="00652F8E"/>
    <w:rsid w:val="0065349A"/>
    <w:rsid w:val="00653BA8"/>
    <w:rsid w:val="0065429D"/>
    <w:rsid w:val="0065442D"/>
    <w:rsid w:val="0065480A"/>
    <w:rsid w:val="00654948"/>
    <w:rsid w:val="00654E9A"/>
    <w:rsid w:val="00655359"/>
    <w:rsid w:val="0065587E"/>
    <w:rsid w:val="00655B16"/>
    <w:rsid w:val="00655E36"/>
    <w:rsid w:val="0065661E"/>
    <w:rsid w:val="00656699"/>
    <w:rsid w:val="00656B9E"/>
    <w:rsid w:val="00656C7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5298"/>
    <w:rsid w:val="00665427"/>
    <w:rsid w:val="0066571C"/>
    <w:rsid w:val="00665A15"/>
    <w:rsid w:val="00665A33"/>
    <w:rsid w:val="00665A69"/>
    <w:rsid w:val="00665B2B"/>
    <w:rsid w:val="00665C04"/>
    <w:rsid w:val="00665D00"/>
    <w:rsid w:val="00665F96"/>
    <w:rsid w:val="006662E0"/>
    <w:rsid w:val="0066637F"/>
    <w:rsid w:val="00666C60"/>
    <w:rsid w:val="006677F6"/>
    <w:rsid w:val="0067056A"/>
    <w:rsid w:val="00670A2A"/>
    <w:rsid w:val="00670CE1"/>
    <w:rsid w:val="006710DA"/>
    <w:rsid w:val="006720C6"/>
    <w:rsid w:val="00672AAB"/>
    <w:rsid w:val="00673428"/>
    <w:rsid w:val="00673D9F"/>
    <w:rsid w:val="00673DFD"/>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4E2"/>
    <w:rsid w:val="00685785"/>
    <w:rsid w:val="006864B2"/>
    <w:rsid w:val="006869A4"/>
    <w:rsid w:val="00687019"/>
    <w:rsid w:val="00687AD7"/>
    <w:rsid w:val="00687BA7"/>
    <w:rsid w:val="00687BAB"/>
    <w:rsid w:val="00690455"/>
    <w:rsid w:val="006906FC"/>
    <w:rsid w:val="00690707"/>
    <w:rsid w:val="006907E7"/>
    <w:rsid w:val="006913BA"/>
    <w:rsid w:val="006913F6"/>
    <w:rsid w:val="0069144D"/>
    <w:rsid w:val="00691DEA"/>
    <w:rsid w:val="00692E79"/>
    <w:rsid w:val="006930A5"/>
    <w:rsid w:val="006931A1"/>
    <w:rsid w:val="006933B6"/>
    <w:rsid w:val="006933D4"/>
    <w:rsid w:val="006934C0"/>
    <w:rsid w:val="006936A8"/>
    <w:rsid w:val="006939B4"/>
    <w:rsid w:val="00693B64"/>
    <w:rsid w:val="00694543"/>
    <w:rsid w:val="006951DB"/>
    <w:rsid w:val="00695C58"/>
    <w:rsid w:val="00696D9D"/>
    <w:rsid w:val="00696E4F"/>
    <w:rsid w:val="00697421"/>
    <w:rsid w:val="00697873"/>
    <w:rsid w:val="006978FE"/>
    <w:rsid w:val="00697D75"/>
    <w:rsid w:val="00697E4C"/>
    <w:rsid w:val="006A0DAD"/>
    <w:rsid w:val="006A1752"/>
    <w:rsid w:val="006A1DD6"/>
    <w:rsid w:val="006A21F7"/>
    <w:rsid w:val="006A224E"/>
    <w:rsid w:val="006A24FB"/>
    <w:rsid w:val="006A2608"/>
    <w:rsid w:val="006A2A0F"/>
    <w:rsid w:val="006A3571"/>
    <w:rsid w:val="006A3A5F"/>
    <w:rsid w:val="006A3C73"/>
    <w:rsid w:val="006A44C2"/>
    <w:rsid w:val="006A4C0E"/>
    <w:rsid w:val="006A5133"/>
    <w:rsid w:val="006A527B"/>
    <w:rsid w:val="006A592B"/>
    <w:rsid w:val="006A5BC8"/>
    <w:rsid w:val="006A5E35"/>
    <w:rsid w:val="006A5FEB"/>
    <w:rsid w:val="006A606B"/>
    <w:rsid w:val="006A69DB"/>
    <w:rsid w:val="006A6BCC"/>
    <w:rsid w:val="006A6D47"/>
    <w:rsid w:val="006A705B"/>
    <w:rsid w:val="006A7137"/>
    <w:rsid w:val="006A74B5"/>
    <w:rsid w:val="006A77CE"/>
    <w:rsid w:val="006A7B3D"/>
    <w:rsid w:val="006A7CFF"/>
    <w:rsid w:val="006B0C39"/>
    <w:rsid w:val="006B10FF"/>
    <w:rsid w:val="006B1153"/>
    <w:rsid w:val="006B11AC"/>
    <w:rsid w:val="006B250C"/>
    <w:rsid w:val="006B3BD0"/>
    <w:rsid w:val="006B3CEF"/>
    <w:rsid w:val="006B3D6E"/>
    <w:rsid w:val="006B3FC1"/>
    <w:rsid w:val="006B4AE5"/>
    <w:rsid w:val="006B4E5A"/>
    <w:rsid w:val="006B4EAA"/>
    <w:rsid w:val="006B50F9"/>
    <w:rsid w:val="006B5A79"/>
    <w:rsid w:val="006B60DE"/>
    <w:rsid w:val="006B61B3"/>
    <w:rsid w:val="006B6228"/>
    <w:rsid w:val="006B6BBD"/>
    <w:rsid w:val="006B6C85"/>
    <w:rsid w:val="006B6FFA"/>
    <w:rsid w:val="006B7600"/>
    <w:rsid w:val="006B7A88"/>
    <w:rsid w:val="006B7B05"/>
    <w:rsid w:val="006B7B38"/>
    <w:rsid w:val="006B7E1A"/>
    <w:rsid w:val="006C02BB"/>
    <w:rsid w:val="006C0473"/>
    <w:rsid w:val="006C0521"/>
    <w:rsid w:val="006C068D"/>
    <w:rsid w:val="006C08CF"/>
    <w:rsid w:val="006C0FF1"/>
    <w:rsid w:val="006C1651"/>
    <w:rsid w:val="006C2C9F"/>
    <w:rsid w:val="006C388B"/>
    <w:rsid w:val="006C3DCE"/>
    <w:rsid w:val="006C3DDD"/>
    <w:rsid w:val="006C3ECD"/>
    <w:rsid w:val="006C41DF"/>
    <w:rsid w:val="006C45BE"/>
    <w:rsid w:val="006C4766"/>
    <w:rsid w:val="006C48AF"/>
    <w:rsid w:val="006C5186"/>
    <w:rsid w:val="006C5810"/>
    <w:rsid w:val="006C60B2"/>
    <w:rsid w:val="006C65CE"/>
    <w:rsid w:val="006C6A37"/>
    <w:rsid w:val="006C6E01"/>
    <w:rsid w:val="006C7580"/>
    <w:rsid w:val="006C7606"/>
    <w:rsid w:val="006C7844"/>
    <w:rsid w:val="006D0252"/>
    <w:rsid w:val="006D035E"/>
    <w:rsid w:val="006D0AC6"/>
    <w:rsid w:val="006D0B55"/>
    <w:rsid w:val="006D0FE9"/>
    <w:rsid w:val="006D15C8"/>
    <w:rsid w:val="006D1766"/>
    <w:rsid w:val="006D1B41"/>
    <w:rsid w:val="006D2274"/>
    <w:rsid w:val="006D2BC5"/>
    <w:rsid w:val="006D2C99"/>
    <w:rsid w:val="006D2D02"/>
    <w:rsid w:val="006D2DAC"/>
    <w:rsid w:val="006D37C3"/>
    <w:rsid w:val="006D3B38"/>
    <w:rsid w:val="006D40D3"/>
    <w:rsid w:val="006D414B"/>
    <w:rsid w:val="006D43ED"/>
    <w:rsid w:val="006D4958"/>
    <w:rsid w:val="006D54DB"/>
    <w:rsid w:val="006D54ED"/>
    <w:rsid w:val="006D5686"/>
    <w:rsid w:val="006D5754"/>
    <w:rsid w:val="006D65E8"/>
    <w:rsid w:val="006D7493"/>
    <w:rsid w:val="006D756E"/>
    <w:rsid w:val="006D7A9C"/>
    <w:rsid w:val="006E014C"/>
    <w:rsid w:val="006E02DE"/>
    <w:rsid w:val="006E094A"/>
    <w:rsid w:val="006E168B"/>
    <w:rsid w:val="006E1A18"/>
    <w:rsid w:val="006E1A3A"/>
    <w:rsid w:val="006E2255"/>
    <w:rsid w:val="006E2E08"/>
    <w:rsid w:val="006E2F5B"/>
    <w:rsid w:val="006E2FCC"/>
    <w:rsid w:val="006E3089"/>
    <w:rsid w:val="006E3625"/>
    <w:rsid w:val="006E3C31"/>
    <w:rsid w:val="006E49ED"/>
    <w:rsid w:val="006E56F1"/>
    <w:rsid w:val="006E571D"/>
    <w:rsid w:val="006E5720"/>
    <w:rsid w:val="006E599C"/>
    <w:rsid w:val="006E6638"/>
    <w:rsid w:val="006E6E80"/>
    <w:rsid w:val="006E6ECB"/>
    <w:rsid w:val="006E7218"/>
    <w:rsid w:val="006E7437"/>
    <w:rsid w:val="006E744C"/>
    <w:rsid w:val="006E7853"/>
    <w:rsid w:val="006F0619"/>
    <w:rsid w:val="006F079F"/>
    <w:rsid w:val="006F081C"/>
    <w:rsid w:val="006F18DF"/>
    <w:rsid w:val="006F1DA5"/>
    <w:rsid w:val="006F1EBB"/>
    <w:rsid w:val="006F1F6A"/>
    <w:rsid w:val="006F2458"/>
    <w:rsid w:val="006F26B7"/>
    <w:rsid w:val="006F2810"/>
    <w:rsid w:val="006F298A"/>
    <w:rsid w:val="006F29AB"/>
    <w:rsid w:val="006F2C8E"/>
    <w:rsid w:val="006F2F88"/>
    <w:rsid w:val="006F34BC"/>
    <w:rsid w:val="006F3908"/>
    <w:rsid w:val="006F3EDD"/>
    <w:rsid w:val="006F4BE4"/>
    <w:rsid w:val="006F5409"/>
    <w:rsid w:val="006F59F7"/>
    <w:rsid w:val="006F5D0D"/>
    <w:rsid w:val="006F7BA3"/>
    <w:rsid w:val="007016D4"/>
    <w:rsid w:val="00701A77"/>
    <w:rsid w:val="00702207"/>
    <w:rsid w:val="00702AEC"/>
    <w:rsid w:val="00702C1E"/>
    <w:rsid w:val="00702F95"/>
    <w:rsid w:val="00703E97"/>
    <w:rsid w:val="007042D1"/>
    <w:rsid w:val="0070440B"/>
    <w:rsid w:val="0070460B"/>
    <w:rsid w:val="007049E3"/>
    <w:rsid w:val="00704FB9"/>
    <w:rsid w:val="00705929"/>
    <w:rsid w:val="00705984"/>
    <w:rsid w:val="00705BA2"/>
    <w:rsid w:val="00706774"/>
    <w:rsid w:val="00706A23"/>
    <w:rsid w:val="00706B70"/>
    <w:rsid w:val="00707027"/>
    <w:rsid w:val="0070721A"/>
    <w:rsid w:val="0070721E"/>
    <w:rsid w:val="00707877"/>
    <w:rsid w:val="0071027D"/>
    <w:rsid w:val="00710D62"/>
    <w:rsid w:val="00710E9C"/>
    <w:rsid w:val="00711D3F"/>
    <w:rsid w:val="00712DEB"/>
    <w:rsid w:val="00713715"/>
    <w:rsid w:val="0071396D"/>
    <w:rsid w:val="007147F6"/>
    <w:rsid w:val="00714F95"/>
    <w:rsid w:val="0071642C"/>
    <w:rsid w:val="007165B1"/>
    <w:rsid w:val="00716622"/>
    <w:rsid w:val="00716719"/>
    <w:rsid w:val="00717214"/>
    <w:rsid w:val="007172AD"/>
    <w:rsid w:val="00717579"/>
    <w:rsid w:val="0072047E"/>
    <w:rsid w:val="007207EE"/>
    <w:rsid w:val="00720888"/>
    <w:rsid w:val="00721B6B"/>
    <w:rsid w:val="00721DC5"/>
    <w:rsid w:val="00722B62"/>
    <w:rsid w:val="007230E6"/>
    <w:rsid w:val="007232D5"/>
    <w:rsid w:val="00723A52"/>
    <w:rsid w:val="00723A5B"/>
    <w:rsid w:val="0072473E"/>
    <w:rsid w:val="00724A42"/>
    <w:rsid w:val="007250A9"/>
    <w:rsid w:val="00725CEA"/>
    <w:rsid w:val="00726043"/>
    <w:rsid w:val="0072626F"/>
    <w:rsid w:val="00726683"/>
    <w:rsid w:val="0072683D"/>
    <w:rsid w:val="00726B50"/>
    <w:rsid w:val="00726F9F"/>
    <w:rsid w:val="0072760D"/>
    <w:rsid w:val="00727AA2"/>
    <w:rsid w:val="00727DCF"/>
    <w:rsid w:val="00727DE0"/>
    <w:rsid w:val="0073005A"/>
    <w:rsid w:val="00730790"/>
    <w:rsid w:val="007309FB"/>
    <w:rsid w:val="00730DFE"/>
    <w:rsid w:val="0073128E"/>
    <w:rsid w:val="00731AE4"/>
    <w:rsid w:val="00732487"/>
    <w:rsid w:val="0073284D"/>
    <w:rsid w:val="00732AB8"/>
    <w:rsid w:val="00732ABB"/>
    <w:rsid w:val="00734041"/>
    <w:rsid w:val="00734156"/>
    <w:rsid w:val="007342AB"/>
    <w:rsid w:val="00734647"/>
    <w:rsid w:val="00734DD4"/>
    <w:rsid w:val="00736285"/>
    <w:rsid w:val="007367D6"/>
    <w:rsid w:val="00736BB2"/>
    <w:rsid w:val="00736D10"/>
    <w:rsid w:val="00737255"/>
    <w:rsid w:val="00737378"/>
    <w:rsid w:val="0073763E"/>
    <w:rsid w:val="007377D8"/>
    <w:rsid w:val="00737DDD"/>
    <w:rsid w:val="00737E27"/>
    <w:rsid w:val="00737E56"/>
    <w:rsid w:val="007404C1"/>
    <w:rsid w:val="00740548"/>
    <w:rsid w:val="00740816"/>
    <w:rsid w:val="00740F10"/>
    <w:rsid w:val="007410CE"/>
    <w:rsid w:val="007412AD"/>
    <w:rsid w:val="00741752"/>
    <w:rsid w:val="007420A4"/>
    <w:rsid w:val="007420FD"/>
    <w:rsid w:val="00742274"/>
    <w:rsid w:val="00742DDC"/>
    <w:rsid w:val="00743131"/>
    <w:rsid w:val="007434CC"/>
    <w:rsid w:val="00743707"/>
    <w:rsid w:val="007437C8"/>
    <w:rsid w:val="00743D13"/>
    <w:rsid w:val="00743E28"/>
    <w:rsid w:val="007440BB"/>
    <w:rsid w:val="0074469E"/>
    <w:rsid w:val="0074473E"/>
    <w:rsid w:val="00744BEE"/>
    <w:rsid w:val="00744FD8"/>
    <w:rsid w:val="0074563A"/>
    <w:rsid w:val="00745ACC"/>
    <w:rsid w:val="00745E35"/>
    <w:rsid w:val="00745E7A"/>
    <w:rsid w:val="00746AD4"/>
    <w:rsid w:val="00747DDE"/>
    <w:rsid w:val="00750179"/>
    <w:rsid w:val="007504BD"/>
    <w:rsid w:val="00750BFD"/>
    <w:rsid w:val="00750E8E"/>
    <w:rsid w:val="007515F9"/>
    <w:rsid w:val="00752C01"/>
    <w:rsid w:val="00753706"/>
    <w:rsid w:val="00753F21"/>
    <w:rsid w:val="007542C4"/>
    <w:rsid w:val="007543CF"/>
    <w:rsid w:val="007544EA"/>
    <w:rsid w:val="007549FE"/>
    <w:rsid w:val="00754F0A"/>
    <w:rsid w:val="00754FF9"/>
    <w:rsid w:val="00755F88"/>
    <w:rsid w:val="00755FC9"/>
    <w:rsid w:val="007565FE"/>
    <w:rsid w:val="007567B6"/>
    <w:rsid w:val="007569ED"/>
    <w:rsid w:val="00756BB1"/>
    <w:rsid w:val="00756CCD"/>
    <w:rsid w:val="00757095"/>
    <w:rsid w:val="007575D9"/>
    <w:rsid w:val="00757B4B"/>
    <w:rsid w:val="00757B77"/>
    <w:rsid w:val="00757BA8"/>
    <w:rsid w:val="00757BC0"/>
    <w:rsid w:val="00757E5D"/>
    <w:rsid w:val="00757F72"/>
    <w:rsid w:val="00757FA0"/>
    <w:rsid w:val="007605DA"/>
    <w:rsid w:val="0076077E"/>
    <w:rsid w:val="00760A96"/>
    <w:rsid w:val="007610B8"/>
    <w:rsid w:val="00761166"/>
    <w:rsid w:val="00761A89"/>
    <w:rsid w:val="00761D77"/>
    <w:rsid w:val="007626A9"/>
    <w:rsid w:val="00762976"/>
    <w:rsid w:val="007629EE"/>
    <w:rsid w:val="007633E5"/>
    <w:rsid w:val="0076350A"/>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6752D"/>
    <w:rsid w:val="00767B11"/>
    <w:rsid w:val="007700A6"/>
    <w:rsid w:val="00770229"/>
    <w:rsid w:val="007714CB"/>
    <w:rsid w:val="007714FB"/>
    <w:rsid w:val="00771681"/>
    <w:rsid w:val="00772144"/>
    <w:rsid w:val="00772B27"/>
    <w:rsid w:val="007736DD"/>
    <w:rsid w:val="00774656"/>
    <w:rsid w:val="0077489C"/>
    <w:rsid w:val="00774C6E"/>
    <w:rsid w:val="00774D27"/>
    <w:rsid w:val="00775FBA"/>
    <w:rsid w:val="007764DF"/>
    <w:rsid w:val="00776513"/>
    <w:rsid w:val="00776693"/>
    <w:rsid w:val="0077755F"/>
    <w:rsid w:val="007775E0"/>
    <w:rsid w:val="00777ECD"/>
    <w:rsid w:val="007803E0"/>
    <w:rsid w:val="007804BA"/>
    <w:rsid w:val="007806BE"/>
    <w:rsid w:val="00780835"/>
    <w:rsid w:val="0078105C"/>
    <w:rsid w:val="007814ED"/>
    <w:rsid w:val="00782555"/>
    <w:rsid w:val="007825C3"/>
    <w:rsid w:val="007832DE"/>
    <w:rsid w:val="00783D8F"/>
    <w:rsid w:val="0078403F"/>
    <w:rsid w:val="00784346"/>
    <w:rsid w:val="0078511A"/>
    <w:rsid w:val="0078558C"/>
    <w:rsid w:val="0078574E"/>
    <w:rsid w:val="00786581"/>
    <w:rsid w:val="00786B03"/>
    <w:rsid w:val="007872B5"/>
    <w:rsid w:val="00787767"/>
    <w:rsid w:val="00787815"/>
    <w:rsid w:val="007907E7"/>
    <w:rsid w:val="0079173E"/>
    <w:rsid w:val="00791790"/>
    <w:rsid w:val="00791D0C"/>
    <w:rsid w:val="00791D31"/>
    <w:rsid w:val="007920D4"/>
    <w:rsid w:val="00793785"/>
    <w:rsid w:val="00794047"/>
    <w:rsid w:val="0079405E"/>
    <w:rsid w:val="007945C2"/>
    <w:rsid w:val="00794ACC"/>
    <w:rsid w:val="00794FF3"/>
    <w:rsid w:val="00795512"/>
    <w:rsid w:val="00796622"/>
    <w:rsid w:val="00796849"/>
    <w:rsid w:val="00796A45"/>
    <w:rsid w:val="00796F6E"/>
    <w:rsid w:val="00797442"/>
    <w:rsid w:val="007975C7"/>
    <w:rsid w:val="007976C5"/>
    <w:rsid w:val="007A04B6"/>
    <w:rsid w:val="007A04C9"/>
    <w:rsid w:val="007A07D2"/>
    <w:rsid w:val="007A0F4D"/>
    <w:rsid w:val="007A16B5"/>
    <w:rsid w:val="007A19C6"/>
    <w:rsid w:val="007A1F80"/>
    <w:rsid w:val="007A2091"/>
    <w:rsid w:val="007A325F"/>
    <w:rsid w:val="007A341C"/>
    <w:rsid w:val="007A36B8"/>
    <w:rsid w:val="007A3F22"/>
    <w:rsid w:val="007A418D"/>
    <w:rsid w:val="007A4350"/>
    <w:rsid w:val="007A466D"/>
    <w:rsid w:val="007A5856"/>
    <w:rsid w:val="007A6301"/>
    <w:rsid w:val="007A65E8"/>
    <w:rsid w:val="007A68DB"/>
    <w:rsid w:val="007A69F6"/>
    <w:rsid w:val="007A7065"/>
    <w:rsid w:val="007A72D2"/>
    <w:rsid w:val="007A74E5"/>
    <w:rsid w:val="007A75FA"/>
    <w:rsid w:val="007A7CA2"/>
    <w:rsid w:val="007A7CB8"/>
    <w:rsid w:val="007A7E0A"/>
    <w:rsid w:val="007B04A3"/>
    <w:rsid w:val="007B062A"/>
    <w:rsid w:val="007B084B"/>
    <w:rsid w:val="007B0A2F"/>
    <w:rsid w:val="007B1684"/>
    <w:rsid w:val="007B1B88"/>
    <w:rsid w:val="007B2080"/>
    <w:rsid w:val="007B2654"/>
    <w:rsid w:val="007B29B5"/>
    <w:rsid w:val="007B2A55"/>
    <w:rsid w:val="007B2F90"/>
    <w:rsid w:val="007B30B9"/>
    <w:rsid w:val="007B3441"/>
    <w:rsid w:val="007B42AA"/>
    <w:rsid w:val="007B4577"/>
    <w:rsid w:val="007B4657"/>
    <w:rsid w:val="007B4BA2"/>
    <w:rsid w:val="007B5455"/>
    <w:rsid w:val="007B57EC"/>
    <w:rsid w:val="007B5953"/>
    <w:rsid w:val="007B6502"/>
    <w:rsid w:val="007B6592"/>
    <w:rsid w:val="007B74FE"/>
    <w:rsid w:val="007B7552"/>
    <w:rsid w:val="007B7E0B"/>
    <w:rsid w:val="007C028E"/>
    <w:rsid w:val="007C04E6"/>
    <w:rsid w:val="007C0639"/>
    <w:rsid w:val="007C0C3A"/>
    <w:rsid w:val="007C0D43"/>
    <w:rsid w:val="007C1257"/>
    <w:rsid w:val="007C1569"/>
    <w:rsid w:val="007C15CB"/>
    <w:rsid w:val="007C1741"/>
    <w:rsid w:val="007C1B1F"/>
    <w:rsid w:val="007C1BC0"/>
    <w:rsid w:val="007C1D34"/>
    <w:rsid w:val="007C1F03"/>
    <w:rsid w:val="007C2460"/>
    <w:rsid w:val="007C25A8"/>
    <w:rsid w:val="007C36D9"/>
    <w:rsid w:val="007C3E78"/>
    <w:rsid w:val="007C41C8"/>
    <w:rsid w:val="007C4484"/>
    <w:rsid w:val="007C4532"/>
    <w:rsid w:val="007C4A02"/>
    <w:rsid w:val="007C4F84"/>
    <w:rsid w:val="007C59A6"/>
    <w:rsid w:val="007C5C8E"/>
    <w:rsid w:val="007C6569"/>
    <w:rsid w:val="007C6966"/>
    <w:rsid w:val="007C6B18"/>
    <w:rsid w:val="007C6B6C"/>
    <w:rsid w:val="007C6C3C"/>
    <w:rsid w:val="007C739D"/>
    <w:rsid w:val="007C7D98"/>
    <w:rsid w:val="007D0254"/>
    <w:rsid w:val="007D0374"/>
    <w:rsid w:val="007D0378"/>
    <w:rsid w:val="007D0BE5"/>
    <w:rsid w:val="007D0D48"/>
    <w:rsid w:val="007D115E"/>
    <w:rsid w:val="007D137E"/>
    <w:rsid w:val="007D165A"/>
    <w:rsid w:val="007D1F71"/>
    <w:rsid w:val="007D2233"/>
    <w:rsid w:val="007D237C"/>
    <w:rsid w:val="007D2AFC"/>
    <w:rsid w:val="007D33DB"/>
    <w:rsid w:val="007D43B2"/>
    <w:rsid w:val="007D4688"/>
    <w:rsid w:val="007D4DE8"/>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8AD"/>
    <w:rsid w:val="007E2A37"/>
    <w:rsid w:val="007E2E89"/>
    <w:rsid w:val="007E3672"/>
    <w:rsid w:val="007E36C7"/>
    <w:rsid w:val="007E3840"/>
    <w:rsid w:val="007E3976"/>
    <w:rsid w:val="007E3D77"/>
    <w:rsid w:val="007E3EA4"/>
    <w:rsid w:val="007E4113"/>
    <w:rsid w:val="007E4442"/>
    <w:rsid w:val="007E4A58"/>
    <w:rsid w:val="007E4DA2"/>
    <w:rsid w:val="007E4FC8"/>
    <w:rsid w:val="007E4FFF"/>
    <w:rsid w:val="007E5B71"/>
    <w:rsid w:val="007E5DC3"/>
    <w:rsid w:val="007E6675"/>
    <w:rsid w:val="007E6990"/>
    <w:rsid w:val="007E6ABC"/>
    <w:rsid w:val="007E6E04"/>
    <w:rsid w:val="007E6E13"/>
    <w:rsid w:val="007E762D"/>
    <w:rsid w:val="007E7953"/>
    <w:rsid w:val="007E7A88"/>
    <w:rsid w:val="007F05BF"/>
    <w:rsid w:val="007F088E"/>
    <w:rsid w:val="007F0BDF"/>
    <w:rsid w:val="007F0D32"/>
    <w:rsid w:val="007F123F"/>
    <w:rsid w:val="007F1501"/>
    <w:rsid w:val="007F1504"/>
    <w:rsid w:val="007F1A90"/>
    <w:rsid w:val="007F1EDE"/>
    <w:rsid w:val="007F22C0"/>
    <w:rsid w:val="007F24D5"/>
    <w:rsid w:val="007F251E"/>
    <w:rsid w:val="007F263E"/>
    <w:rsid w:val="007F2917"/>
    <w:rsid w:val="007F2CEC"/>
    <w:rsid w:val="007F33E8"/>
    <w:rsid w:val="007F41FB"/>
    <w:rsid w:val="007F4A5B"/>
    <w:rsid w:val="007F5438"/>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389"/>
    <w:rsid w:val="008023EE"/>
    <w:rsid w:val="008027CB"/>
    <w:rsid w:val="008029C2"/>
    <w:rsid w:val="00802E4A"/>
    <w:rsid w:val="00804486"/>
    <w:rsid w:val="00804551"/>
    <w:rsid w:val="00804773"/>
    <w:rsid w:val="0080485A"/>
    <w:rsid w:val="00804937"/>
    <w:rsid w:val="00805723"/>
    <w:rsid w:val="00805A33"/>
    <w:rsid w:val="00806189"/>
    <w:rsid w:val="0080656D"/>
    <w:rsid w:val="00806692"/>
    <w:rsid w:val="0080669A"/>
    <w:rsid w:val="00806C84"/>
    <w:rsid w:val="008071B2"/>
    <w:rsid w:val="00807A2C"/>
    <w:rsid w:val="00807A33"/>
    <w:rsid w:val="00810061"/>
    <w:rsid w:val="008105A8"/>
    <w:rsid w:val="00810D81"/>
    <w:rsid w:val="00811366"/>
    <w:rsid w:val="008125C3"/>
    <w:rsid w:val="00812A9F"/>
    <w:rsid w:val="00813476"/>
    <w:rsid w:val="00814644"/>
    <w:rsid w:val="0081482E"/>
    <w:rsid w:val="00814BCC"/>
    <w:rsid w:val="0081519F"/>
    <w:rsid w:val="00815819"/>
    <w:rsid w:val="00816673"/>
    <w:rsid w:val="00816BA2"/>
    <w:rsid w:val="0081701E"/>
    <w:rsid w:val="00817350"/>
    <w:rsid w:val="0081793F"/>
    <w:rsid w:val="00817985"/>
    <w:rsid w:val="00820304"/>
    <w:rsid w:val="008206E5"/>
    <w:rsid w:val="00821225"/>
    <w:rsid w:val="008214EE"/>
    <w:rsid w:val="008217FA"/>
    <w:rsid w:val="008219B8"/>
    <w:rsid w:val="00821DE9"/>
    <w:rsid w:val="00823747"/>
    <w:rsid w:val="00823958"/>
    <w:rsid w:val="00823A07"/>
    <w:rsid w:val="00823C3F"/>
    <w:rsid w:val="00823EA7"/>
    <w:rsid w:val="0082416B"/>
    <w:rsid w:val="008241B1"/>
    <w:rsid w:val="008244BF"/>
    <w:rsid w:val="00824711"/>
    <w:rsid w:val="00824A75"/>
    <w:rsid w:val="00824DB1"/>
    <w:rsid w:val="00825250"/>
    <w:rsid w:val="008254AB"/>
    <w:rsid w:val="0082686E"/>
    <w:rsid w:val="00826E1C"/>
    <w:rsid w:val="00826F13"/>
    <w:rsid w:val="00826F1D"/>
    <w:rsid w:val="00827443"/>
    <w:rsid w:val="008279C6"/>
    <w:rsid w:val="008279F4"/>
    <w:rsid w:val="00827ADE"/>
    <w:rsid w:val="00830D72"/>
    <w:rsid w:val="00831044"/>
    <w:rsid w:val="008310D1"/>
    <w:rsid w:val="00831A98"/>
    <w:rsid w:val="00831F30"/>
    <w:rsid w:val="00832B49"/>
    <w:rsid w:val="00832C4D"/>
    <w:rsid w:val="00832D9C"/>
    <w:rsid w:val="00832F8B"/>
    <w:rsid w:val="008338AF"/>
    <w:rsid w:val="0083416F"/>
    <w:rsid w:val="008349F7"/>
    <w:rsid w:val="00835FA7"/>
    <w:rsid w:val="008363C0"/>
    <w:rsid w:val="00836FC2"/>
    <w:rsid w:val="008376D6"/>
    <w:rsid w:val="0083799E"/>
    <w:rsid w:val="00840D34"/>
    <w:rsid w:val="00840FF6"/>
    <w:rsid w:val="00841576"/>
    <w:rsid w:val="00841D95"/>
    <w:rsid w:val="008424A7"/>
    <w:rsid w:val="0084253E"/>
    <w:rsid w:val="00842A37"/>
    <w:rsid w:val="00842CAE"/>
    <w:rsid w:val="00842DA1"/>
    <w:rsid w:val="00844555"/>
    <w:rsid w:val="008447DF"/>
    <w:rsid w:val="008449A7"/>
    <w:rsid w:val="00844D4C"/>
    <w:rsid w:val="00844DED"/>
    <w:rsid w:val="00844F9D"/>
    <w:rsid w:val="00845606"/>
    <w:rsid w:val="0084562C"/>
    <w:rsid w:val="00845D80"/>
    <w:rsid w:val="00846556"/>
    <w:rsid w:val="00846A04"/>
    <w:rsid w:val="00846E78"/>
    <w:rsid w:val="0084739C"/>
    <w:rsid w:val="008506F8"/>
    <w:rsid w:val="00850DA4"/>
    <w:rsid w:val="00850ED0"/>
    <w:rsid w:val="00851967"/>
    <w:rsid w:val="00851BE2"/>
    <w:rsid w:val="0085254F"/>
    <w:rsid w:val="00853573"/>
    <w:rsid w:val="0085364B"/>
    <w:rsid w:val="00853974"/>
    <w:rsid w:val="00853CC3"/>
    <w:rsid w:val="00853D5A"/>
    <w:rsid w:val="008541C6"/>
    <w:rsid w:val="008542B3"/>
    <w:rsid w:val="00854C7F"/>
    <w:rsid w:val="00855125"/>
    <w:rsid w:val="00855BFD"/>
    <w:rsid w:val="00855FE8"/>
    <w:rsid w:val="0085611B"/>
    <w:rsid w:val="008561D4"/>
    <w:rsid w:val="00856FB6"/>
    <w:rsid w:val="00857420"/>
    <w:rsid w:val="00857E26"/>
    <w:rsid w:val="00860EDF"/>
    <w:rsid w:val="00861174"/>
    <w:rsid w:val="00861263"/>
    <w:rsid w:val="0086153C"/>
    <w:rsid w:val="0086165F"/>
    <w:rsid w:val="008619E8"/>
    <w:rsid w:val="00861F57"/>
    <w:rsid w:val="008620C0"/>
    <w:rsid w:val="008624F1"/>
    <w:rsid w:val="008627EE"/>
    <w:rsid w:val="00862C7C"/>
    <w:rsid w:val="00863B28"/>
    <w:rsid w:val="008643BD"/>
    <w:rsid w:val="00864434"/>
    <w:rsid w:val="00864563"/>
    <w:rsid w:val="008659F6"/>
    <w:rsid w:val="00865F1D"/>
    <w:rsid w:val="00866F83"/>
    <w:rsid w:val="00867412"/>
    <w:rsid w:val="008675E7"/>
    <w:rsid w:val="008678DD"/>
    <w:rsid w:val="0087011F"/>
    <w:rsid w:val="00870453"/>
    <w:rsid w:val="0087067F"/>
    <w:rsid w:val="008712D7"/>
    <w:rsid w:val="00871529"/>
    <w:rsid w:val="008716A3"/>
    <w:rsid w:val="008716CF"/>
    <w:rsid w:val="00871779"/>
    <w:rsid w:val="00871E7A"/>
    <w:rsid w:val="0087215B"/>
    <w:rsid w:val="0087260B"/>
    <w:rsid w:val="00872635"/>
    <w:rsid w:val="00872DFE"/>
    <w:rsid w:val="008737B1"/>
    <w:rsid w:val="00873F6C"/>
    <w:rsid w:val="00874093"/>
    <w:rsid w:val="008755CC"/>
    <w:rsid w:val="00875993"/>
    <w:rsid w:val="0087616B"/>
    <w:rsid w:val="008769BB"/>
    <w:rsid w:val="00876FA9"/>
    <w:rsid w:val="00877332"/>
    <w:rsid w:val="00877449"/>
    <w:rsid w:val="0087750C"/>
    <w:rsid w:val="00877562"/>
    <w:rsid w:val="00877601"/>
    <w:rsid w:val="00877E97"/>
    <w:rsid w:val="008800C8"/>
    <w:rsid w:val="00880B14"/>
    <w:rsid w:val="00880FBF"/>
    <w:rsid w:val="0088170F"/>
    <w:rsid w:val="00881D4F"/>
    <w:rsid w:val="00882324"/>
    <w:rsid w:val="00882888"/>
    <w:rsid w:val="00882E73"/>
    <w:rsid w:val="00882EF8"/>
    <w:rsid w:val="00883336"/>
    <w:rsid w:val="008835D1"/>
    <w:rsid w:val="008837A4"/>
    <w:rsid w:val="0088408C"/>
    <w:rsid w:val="00884233"/>
    <w:rsid w:val="00884246"/>
    <w:rsid w:val="008846AC"/>
    <w:rsid w:val="008846B0"/>
    <w:rsid w:val="00884BD3"/>
    <w:rsid w:val="00884C7A"/>
    <w:rsid w:val="00884E0B"/>
    <w:rsid w:val="008853FD"/>
    <w:rsid w:val="0088555D"/>
    <w:rsid w:val="008857FC"/>
    <w:rsid w:val="00886146"/>
    <w:rsid w:val="008863D3"/>
    <w:rsid w:val="00886B90"/>
    <w:rsid w:val="00886BA4"/>
    <w:rsid w:val="00886E0E"/>
    <w:rsid w:val="00886E17"/>
    <w:rsid w:val="008875B0"/>
    <w:rsid w:val="0088770B"/>
    <w:rsid w:val="00887BF4"/>
    <w:rsid w:val="00887C5F"/>
    <w:rsid w:val="00887C74"/>
    <w:rsid w:val="00887CB4"/>
    <w:rsid w:val="0089129F"/>
    <w:rsid w:val="00891409"/>
    <w:rsid w:val="00891593"/>
    <w:rsid w:val="00891769"/>
    <w:rsid w:val="00891DAC"/>
    <w:rsid w:val="008925AD"/>
    <w:rsid w:val="00892753"/>
    <w:rsid w:val="00893588"/>
    <w:rsid w:val="0089368C"/>
    <w:rsid w:val="008937E5"/>
    <w:rsid w:val="0089381A"/>
    <w:rsid w:val="00893A53"/>
    <w:rsid w:val="00893D17"/>
    <w:rsid w:val="0089447E"/>
    <w:rsid w:val="008953A9"/>
    <w:rsid w:val="0089563F"/>
    <w:rsid w:val="00895905"/>
    <w:rsid w:val="00895DFC"/>
    <w:rsid w:val="008963DF"/>
    <w:rsid w:val="0089655E"/>
    <w:rsid w:val="00896A02"/>
    <w:rsid w:val="00896F61"/>
    <w:rsid w:val="008970E6"/>
    <w:rsid w:val="0089728B"/>
    <w:rsid w:val="0089759A"/>
    <w:rsid w:val="0089796A"/>
    <w:rsid w:val="00897BBF"/>
    <w:rsid w:val="008A038D"/>
    <w:rsid w:val="008A100F"/>
    <w:rsid w:val="008A1033"/>
    <w:rsid w:val="008A1356"/>
    <w:rsid w:val="008A1846"/>
    <w:rsid w:val="008A1D9B"/>
    <w:rsid w:val="008A1F1B"/>
    <w:rsid w:val="008A21F4"/>
    <w:rsid w:val="008A22CF"/>
    <w:rsid w:val="008A2507"/>
    <w:rsid w:val="008A288F"/>
    <w:rsid w:val="008A29FF"/>
    <w:rsid w:val="008A33BD"/>
    <w:rsid w:val="008A33D8"/>
    <w:rsid w:val="008A353C"/>
    <w:rsid w:val="008A3C14"/>
    <w:rsid w:val="008A3C5C"/>
    <w:rsid w:val="008A3E03"/>
    <w:rsid w:val="008A3F72"/>
    <w:rsid w:val="008A3F98"/>
    <w:rsid w:val="008A4449"/>
    <w:rsid w:val="008A461F"/>
    <w:rsid w:val="008A4B12"/>
    <w:rsid w:val="008A51DA"/>
    <w:rsid w:val="008A56BE"/>
    <w:rsid w:val="008A5A12"/>
    <w:rsid w:val="008A5A79"/>
    <w:rsid w:val="008A5E84"/>
    <w:rsid w:val="008A60AF"/>
    <w:rsid w:val="008A66DB"/>
    <w:rsid w:val="008A67A8"/>
    <w:rsid w:val="008A6A24"/>
    <w:rsid w:val="008A6F0E"/>
    <w:rsid w:val="008A6F90"/>
    <w:rsid w:val="008A7398"/>
    <w:rsid w:val="008A74F3"/>
    <w:rsid w:val="008A7BB6"/>
    <w:rsid w:val="008A7C0F"/>
    <w:rsid w:val="008A7ED2"/>
    <w:rsid w:val="008B0103"/>
    <w:rsid w:val="008B0549"/>
    <w:rsid w:val="008B0E54"/>
    <w:rsid w:val="008B1AC2"/>
    <w:rsid w:val="008B2165"/>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B7FD0"/>
    <w:rsid w:val="008C0ACB"/>
    <w:rsid w:val="008C0E69"/>
    <w:rsid w:val="008C0FF1"/>
    <w:rsid w:val="008C0FF5"/>
    <w:rsid w:val="008C12E8"/>
    <w:rsid w:val="008C143B"/>
    <w:rsid w:val="008C156D"/>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917"/>
    <w:rsid w:val="008D19B4"/>
    <w:rsid w:val="008D1BDA"/>
    <w:rsid w:val="008D25D5"/>
    <w:rsid w:val="008D2EFC"/>
    <w:rsid w:val="008D5204"/>
    <w:rsid w:val="008D5F3D"/>
    <w:rsid w:val="008D6B54"/>
    <w:rsid w:val="008D6E67"/>
    <w:rsid w:val="008D7A6E"/>
    <w:rsid w:val="008D7B88"/>
    <w:rsid w:val="008D7D18"/>
    <w:rsid w:val="008E06B5"/>
    <w:rsid w:val="008E07F4"/>
    <w:rsid w:val="008E0983"/>
    <w:rsid w:val="008E1E94"/>
    <w:rsid w:val="008E2353"/>
    <w:rsid w:val="008E25B9"/>
    <w:rsid w:val="008E2DCC"/>
    <w:rsid w:val="008E2EF5"/>
    <w:rsid w:val="008E3714"/>
    <w:rsid w:val="008E38E6"/>
    <w:rsid w:val="008E3C47"/>
    <w:rsid w:val="008E3FEB"/>
    <w:rsid w:val="008E4803"/>
    <w:rsid w:val="008E4A96"/>
    <w:rsid w:val="008E4CFB"/>
    <w:rsid w:val="008E4FB1"/>
    <w:rsid w:val="008E5368"/>
    <w:rsid w:val="008E54BC"/>
    <w:rsid w:val="008E57BC"/>
    <w:rsid w:val="008E5F8A"/>
    <w:rsid w:val="008E613A"/>
    <w:rsid w:val="008E721F"/>
    <w:rsid w:val="008E7535"/>
    <w:rsid w:val="008E776C"/>
    <w:rsid w:val="008E7C2C"/>
    <w:rsid w:val="008E7F18"/>
    <w:rsid w:val="008F01FE"/>
    <w:rsid w:val="008F056E"/>
    <w:rsid w:val="008F057D"/>
    <w:rsid w:val="008F08B9"/>
    <w:rsid w:val="008F0CEF"/>
    <w:rsid w:val="008F1077"/>
    <w:rsid w:val="008F1897"/>
    <w:rsid w:val="008F19F0"/>
    <w:rsid w:val="008F2124"/>
    <w:rsid w:val="008F246D"/>
    <w:rsid w:val="008F2687"/>
    <w:rsid w:val="008F29F7"/>
    <w:rsid w:val="008F2AD4"/>
    <w:rsid w:val="008F2B2F"/>
    <w:rsid w:val="008F2FC5"/>
    <w:rsid w:val="008F3524"/>
    <w:rsid w:val="008F3637"/>
    <w:rsid w:val="008F3726"/>
    <w:rsid w:val="008F3987"/>
    <w:rsid w:val="008F3E04"/>
    <w:rsid w:val="008F403A"/>
    <w:rsid w:val="008F41EF"/>
    <w:rsid w:val="008F41F7"/>
    <w:rsid w:val="008F43C8"/>
    <w:rsid w:val="008F4466"/>
    <w:rsid w:val="008F50E0"/>
    <w:rsid w:val="008F589C"/>
    <w:rsid w:val="008F6071"/>
    <w:rsid w:val="008F633B"/>
    <w:rsid w:val="008F6B5A"/>
    <w:rsid w:val="008F6DD7"/>
    <w:rsid w:val="008F76BB"/>
    <w:rsid w:val="008F7813"/>
    <w:rsid w:val="00900152"/>
    <w:rsid w:val="0090123E"/>
    <w:rsid w:val="00901ADC"/>
    <w:rsid w:val="00901E8E"/>
    <w:rsid w:val="0090230C"/>
    <w:rsid w:val="0090236B"/>
    <w:rsid w:val="00902465"/>
    <w:rsid w:val="00903117"/>
    <w:rsid w:val="00903476"/>
    <w:rsid w:val="00903F38"/>
    <w:rsid w:val="0090442C"/>
    <w:rsid w:val="00905082"/>
    <w:rsid w:val="00905D7F"/>
    <w:rsid w:val="00906088"/>
    <w:rsid w:val="00906A91"/>
    <w:rsid w:val="00906A9C"/>
    <w:rsid w:val="00906FDA"/>
    <w:rsid w:val="00907AA0"/>
    <w:rsid w:val="0091016E"/>
    <w:rsid w:val="00910631"/>
    <w:rsid w:val="00910812"/>
    <w:rsid w:val="00911941"/>
    <w:rsid w:val="00911FBE"/>
    <w:rsid w:val="009123BA"/>
    <w:rsid w:val="00912DC6"/>
    <w:rsid w:val="0091310B"/>
    <w:rsid w:val="009137BC"/>
    <w:rsid w:val="00913C33"/>
    <w:rsid w:val="00915245"/>
    <w:rsid w:val="009158A8"/>
    <w:rsid w:val="00916668"/>
    <w:rsid w:val="009170B7"/>
    <w:rsid w:val="00917581"/>
    <w:rsid w:val="00917A41"/>
    <w:rsid w:val="00917AF4"/>
    <w:rsid w:val="009207C2"/>
    <w:rsid w:val="00922545"/>
    <w:rsid w:val="00922A33"/>
    <w:rsid w:val="00922C29"/>
    <w:rsid w:val="00922C75"/>
    <w:rsid w:val="009232A3"/>
    <w:rsid w:val="00923669"/>
    <w:rsid w:val="00924167"/>
    <w:rsid w:val="00924A90"/>
    <w:rsid w:val="00924BEC"/>
    <w:rsid w:val="009253F3"/>
    <w:rsid w:val="00925565"/>
    <w:rsid w:val="009262E4"/>
    <w:rsid w:val="00927A08"/>
    <w:rsid w:val="00930098"/>
    <w:rsid w:val="009301E5"/>
    <w:rsid w:val="0093061F"/>
    <w:rsid w:val="00931135"/>
    <w:rsid w:val="009313C7"/>
    <w:rsid w:val="00931927"/>
    <w:rsid w:val="00931DE9"/>
    <w:rsid w:val="009327E3"/>
    <w:rsid w:val="00932B95"/>
    <w:rsid w:val="00932C98"/>
    <w:rsid w:val="009331D6"/>
    <w:rsid w:val="009335B1"/>
    <w:rsid w:val="009339A2"/>
    <w:rsid w:val="0093433B"/>
    <w:rsid w:val="009352D1"/>
    <w:rsid w:val="0093592C"/>
    <w:rsid w:val="00935AFC"/>
    <w:rsid w:val="00936433"/>
    <w:rsid w:val="00936514"/>
    <w:rsid w:val="00936ACB"/>
    <w:rsid w:val="00936B41"/>
    <w:rsid w:val="009370DE"/>
    <w:rsid w:val="00937A93"/>
    <w:rsid w:val="00937C11"/>
    <w:rsid w:val="00940241"/>
    <w:rsid w:val="00940276"/>
    <w:rsid w:val="009404F2"/>
    <w:rsid w:val="00940712"/>
    <w:rsid w:val="009407ED"/>
    <w:rsid w:val="009417F5"/>
    <w:rsid w:val="00941B2B"/>
    <w:rsid w:val="0094202F"/>
    <w:rsid w:val="00942F58"/>
    <w:rsid w:val="00943225"/>
    <w:rsid w:val="009437DC"/>
    <w:rsid w:val="00943874"/>
    <w:rsid w:val="009438DC"/>
    <w:rsid w:val="0094390E"/>
    <w:rsid w:val="009439CF"/>
    <w:rsid w:val="00943D53"/>
    <w:rsid w:val="00943D6C"/>
    <w:rsid w:val="00943F0D"/>
    <w:rsid w:val="00944150"/>
    <w:rsid w:val="009441E1"/>
    <w:rsid w:val="0094495E"/>
    <w:rsid w:val="00945018"/>
    <w:rsid w:val="009451C1"/>
    <w:rsid w:val="009459CE"/>
    <w:rsid w:val="00945B72"/>
    <w:rsid w:val="00946A91"/>
    <w:rsid w:val="00946D75"/>
    <w:rsid w:val="009477DE"/>
    <w:rsid w:val="00950090"/>
    <w:rsid w:val="0095020E"/>
    <w:rsid w:val="00950B1A"/>
    <w:rsid w:val="00950B2B"/>
    <w:rsid w:val="009512B4"/>
    <w:rsid w:val="009513C4"/>
    <w:rsid w:val="00951584"/>
    <w:rsid w:val="009518A5"/>
    <w:rsid w:val="009529CD"/>
    <w:rsid w:val="00953225"/>
    <w:rsid w:val="00953279"/>
    <w:rsid w:val="00953503"/>
    <w:rsid w:val="009538C1"/>
    <w:rsid w:val="00953DC9"/>
    <w:rsid w:val="00953EE0"/>
    <w:rsid w:val="009542D3"/>
    <w:rsid w:val="0095470F"/>
    <w:rsid w:val="00954ACF"/>
    <w:rsid w:val="00954DC3"/>
    <w:rsid w:val="00954FEA"/>
    <w:rsid w:val="0095518F"/>
    <w:rsid w:val="00955827"/>
    <w:rsid w:val="00955B04"/>
    <w:rsid w:val="00955B77"/>
    <w:rsid w:val="00955BC0"/>
    <w:rsid w:val="0095611F"/>
    <w:rsid w:val="009576FC"/>
    <w:rsid w:val="00957CC4"/>
    <w:rsid w:val="00957D2E"/>
    <w:rsid w:val="00957EEF"/>
    <w:rsid w:val="00961564"/>
    <w:rsid w:val="009618E6"/>
    <w:rsid w:val="00961C18"/>
    <w:rsid w:val="00961D39"/>
    <w:rsid w:val="0096264C"/>
    <w:rsid w:val="00962661"/>
    <w:rsid w:val="0096268A"/>
    <w:rsid w:val="00962CF6"/>
    <w:rsid w:val="00962D15"/>
    <w:rsid w:val="009630D2"/>
    <w:rsid w:val="009631D3"/>
    <w:rsid w:val="0096350B"/>
    <w:rsid w:val="009635C9"/>
    <w:rsid w:val="00963B95"/>
    <w:rsid w:val="009648B4"/>
    <w:rsid w:val="00964C2E"/>
    <w:rsid w:val="00964CFB"/>
    <w:rsid w:val="00964D6C"/>
    <w:rsid w:val="00964DDE"/>
    <w:rsid w:val="00964FAC"/>
    <w:rsid w:val="00965451"/>
    <w:rsid w:val="00965463"/>
    <w:rsid w:val="009655DE"/>
    <w:rsid w:val="009658A3"/>
    <w:rsid w:val="009668B6"/>
    <w:rsid w:val="00966929"/>
    <w:rsid w:val="00966BD8"/>
    <w:rsid w:val="00966E7B"/>
    <w:rsid w:val="00967384"/>
    <w:rsid w:val="009674F5"/>
    <w:rsid w:val="00967DEB"/>
    <w:rsid w:val="00971B3F"/>
    <w:rsid w:val="00971DE1"/>
    <w:rsid w:val="00972462"/>
    <w:rsid w:val="00972F22"/>
    <w:rsid w:val="00973160"/>
    <w:rsid w:val="0097387C"/>
    <w:rsid w:val="00973A6F"/>
    <w:rsid w:val="00973BD9"/>
    <w:rsid w:val="0097462B"/>
    <w:rsid w:val="009756C1"/>
    <w:rsid w:val="00975936"/>
    <w:rsid w:val="00975B3A"/>
    <w:rsid w:val="00975BEF"/>
    <w:rsid w:val="00976BE5"/>
    <w:rsid w:val="00976DAF"/>
    <w:rsid w:val="00977045"/>
    <w:rsid w:val="0097714A"/>
    <w:rsid w:val="0097733C"/>
    <w:rsid w:val="009778C5"/>
    <w:rsid w:val="009806F8"/>
    <w:rsid w:val="0098135C"/>
    <w:rsid w:val="00981527"/>
    <w:rsid w:val="009815C6"/>
    <w:rsid w:val="009816AA"/>
    <w:rsid w:val="00981A31"/>
    <w:rsid w:val="00982AA3"/>
    <w:rsid w:val="00982BB8"/>
    <w:rsid w:val="009836A3"/>
    <w:rsid w:val="009837CB"/>
    <w:rsid w:val="00983D1F"/>
    <w:rsid w:val="00983F46"/>
    <w:rsid w:val="009848D9"/>
    <w:rsid w:val="00985622"/>
    <w:rsid w:val="0098584F"/>
    <w:rsid w:val="00985A74"/>
    <w:rsid w:val="00985B07"/>
    <w:rsid w:val="00985F0A"/>
    <w:rsid w:val="00986331"/>
    <w:rsid w:val="00986370"/>
    <w:rsid w:val="0098656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33"/>
    <w:rsid w:val="00992D54"/>
    <w:rsid w:val="0099350A"/>
    <w:rsid w:val="009938DC"/>
    <w:rsid w:val="0099452B"/>
    <w:rsid w:val="009947F9"/>
    <w:rsid w:val="00995886"/>
    <w:rsid w:val="00995AAF"/>
    <w:rsid w:val="00995F02"/>
    <w:rsid w:val="00996861"/>
    <w:rsid w:val="0099700C"/>
    <w:rsid w:val="009970CF"/>
    <w:rsid w:val="009977D1"/>
    <w:rsid w:val="00997876"/>
    <w:rsid w:val="00997AD1"/>
    <w:rsid w:val="00997F46"/>
    <w:rsid w:val="00997FD7"/>
    <w:rsid w:val="009A040A"/>
    <w:rsid w:val="009A040F"/>
    <w:rsid w:val="009A0EF8"/>
    <w:rsid w:val="009A1054"/>
    <w:rsid w:val="009A14A0"/>
    <w:rsid w:val="009A19BA"/>
    <w:rsid w:val="009A2174"/>
    <w:rsid w:val="009A26E4"/>
    <w:rsid w:val="009A27B0"/>
    <w:rsid w:val="009A2FD4"/>
    <w:rsid w:val="009A3823"/>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2B3"/>
    <w:rsid w:val="009A73AB"/>
    <w:rsid w:val="009A767E"/>
    <w:rsid w:val="009B01F8"/>
    <w:rsid w:val="009B0264"/>
    <w:rsid w:val="009B02D2"/>
    <w:rsid w:val="009B043B"/>
    <w:rsid w:val="009B147A"/>
    <w:rsid w:val="009B1768"/>
    <w:rsid w:val="009B177E"/>
    <w:rsid w:val="009B1DBC"/>
    <w:rsid w:val="009B1DFF"/>
    <w:rsid w:val="009B2031"/>
    <w:rsid w:val="009B212A"/>
    <w:rsid w:val="009B2560"/>
    <w:rsid w:val="009B2F3C"/>
    <w:rsid w:val="009B2FF4"/>
    <w:rsid w:val="009B3457"/>
    <w:rsid w:val="009B43D6"/>
    <w:rsid w:val="009B53B5"/>
    <w:rsid w:val="009B54DA"/>
    <w:rsid w:val="009B57BD"/>
    <w:rsid w:val="009B5852"/>
    <w:rsid w:val="009B6500"/>
    <w:rsid w:val="009B6A61"/>
    <w:rsid w:val="009B6E83"/>
    <w:rsid w:val="009B7332"/>
    <w:rsid w:val="009B7340"/>
    <w:rsid w:val="009B753A"/>
    <w:rsid w:val="009B792A"/>
    <w:rsid w:val="009B7A68"/>
    <w:rsid w:val="009B7B50"/>
    <w:rsid w:val="009B7B7F"/>
    <w:rsid w:val="009C006B"/>
    <w:rsid w:val="009C0342"/>
    <w:rsid w:val="009C08A1"/>
    <w:rsid w:val="009C08FE"/>
    <w:rsid w:val="009C0909"/>
    <w:rsid w:val="009C0A6C"/>
    <w:rsid w:val="009C0BED"/>
    <w:rsid w:val="009C0C65"/>
    <w:rsid w:val="009C15C5"/>
    <w:rsid w:val="009C1920"/>
    <w:rsid w:val="009C1FA4"/>
    <w:rsid w:val="009C2B73"/>
    <w:rsid w:val="009C2CA8"/>
    <w:rsid w:val="009C30D5"/>
    <w:rsid w:val="009C3259"/>
    <w:rsid w:val="009C3D61"/>
    <w:rsid w:val="009C4023"/>
    <w:rsid w:val="009C4497"/>
    <w:rsid w:val="009C4753"/>
    <w:rsid w:val="009C4BF2"/>
    <w:rsid w:val="009C52CC"/>
    <w:rsid w:val="009C56AB"/>
    <w:rsid w:val="009C5768"/>
    <w:rsid w:val="009C5BFA"/>
    <w:rsid w:val="009C5D45"/>
    <w:rsid w:val="009C6BB3"/>
    <w:rsid w:val="009C74D3"/>
    <w:rsid w:val="009C75A4"/>
    <w:rsid w:val="009C7616"/>
    <w:rsid w:val="009C79ED"/>
    <w:rsid w:val="009C7A8B"/>
    <w:rsid w:val="009C7FAE"/>
    <w:rsid w:val="009D01E1"/>
    <w:rsid w:val="009D02AA"/>
    <w:rsid w:val="009D05DA"/>
    <w:rsid w:val="009D1F5D"/>
    <w:rsid w:val="009D2617"/>
    <w:rsid w:val="009D32D1"/>
    <w:rsid w:val="009D3BF8"/>
    <w:rsid w:val="009D3C6B"/>
    <w:rsid w:val="009D408D"/>
    <w:rsid w:val="009D4935"/>
    <w:rsid w:val="009D4AFA"/>
    <w:rsid w:val="009D4BE0"/>
    <w:rsid w:val="009D5559"/>
    <w:rsid w:val="009D5DF7"/>
    <w:rsid w:val="009D60B5"/>
    <w:rsid w:val="009D622A"/>
    <w:rsid w:val="009D6545"/>
    <w:rsid w:val="009D6A53"/>
    <w:rsid w:val="009D6BCA"/>
    <w:rsid w:val="009D6CE9"/>
    <w:rsid w:val="009D74A5"/>
    <w:rsid w:val="009D76C2"/>
    <w:rsid w:val="009D78A6"/>
    <w:rsid w:val="009D7C8C"/>
    <w:rsid w:val="009D7EFE"/>
    <w:rsid w:val="009E0E73"/>
    <w:rsid w:val="009E1020"/>
    <w:rsid w:val="009E137E"/>
    <w:rsid w:val="009E1AB9"/>
    <w:rsid w:val="009E1D53"/>
    <w:rsid w:val="009E2521"/>
    <w:rsid w:val="009E25D3"/>
    <w:rsid w:val="009E26F4"/>
    <w:rsid w:val="009E3C41"/>
    <w:rsid w:val="009E4CE3"/>
    <w:rsid w:val="009E4D29"/>
    <w:rsid w:val="009E504A"/>
    <w:rsid w:val="009E52C9"/>
    <w:rsid w:val="009E5817"/>
    <w:rsid w:val="009E588B"/>
    <w:rsid w:val="009E6AA9"/>
    <w:rsid w:val="009E6ED8"/>
    <w:rsid w:val="009E7020"/>
    <w:rsid w:val="009E7F4E"/>
    <w:rsid w:val="009F0D3D"/>
    <w:rsid w:val="009F0DBE"/>
    <w:rsid w:val="009F0DD1"/>
    <w:rsid w:val="009F13E8"/>
    <w:rsid w:val="009F3234"/>
    <w:rsid w:val="009F34EB"/>
    <w:rsid w:val="009F35D2"/>
    <w:rsid w:val="009F3888"/>
    <w:rsid w:val="009F38C0"/>
    <w:rsid w:val="009F3A71"/>
    <w:rsid w:val="009F3E12"/>
    <w:rsid w:val="009F43C4"/>
    <w:rsid w:val="009F4799"/>
    <w:rsid w:val="009F4924"/>
    <w:rsid w:val="009F552A"/>
    <w:rsid w:val="009F5B91"/>
    <w:rsid w:val="009F5C3E"/>
    <w:rsid w:val="009F6D40"/>
    <w:rsid w:val="009F753A"/>
    <w:rsid w:val="009F7711"/>
    <w:rsid w:val="009F7A1A"/>
    <w:rsid w:val="009F7EDA"/>
    <w:rsid w:val="009F7F4F"/>
    <w:rsid w:val="009F7FF5"/>
    <w:rsid w:val="00A00241"/>
    <w:rsid w:val="00A01700"/>
    <w:rsid w:val="00A01806"/>
    <w:rsid w:val="00A036F9"/>
    <w:rsid w:val="00A03E3B"/>
    <w:rsid w:val="00A04422"/>
    <w:rsid w:val="00A044D6"/>
    <w:rsid w:val="00A0599A"/>
    <w:rsid w:val="00A05D36"/>
    <w:rsid w:val="00A06912"/>
    <w:rsid w:val="00A078CC"/>
    <w:rsid w:val="00A07CC3"/>
    <w:rsid w:val="00A07EA7"/>
    <w:rsid w:val="00A100BE"/>
    <w:rsid w:val="00A10491"/>
    <w:rsid w:val="00A1079C"/>
    <w:rsid w:val="00A107FF"/>
    <w:rsid w:val="00A1088D"/>
    <w:rsid w:val="00A11ECE"/>
    <w:rsid w:val="00A122F1"/>
    <w:rsid w:val="00A12881"/>
    <w:rsid w:val="00A12BA0"/>
    <w:rsid w:val="00A12BCF"/>
    <w:rsid w:val="00A13971"/>
    <w:rsid w:val="00A13A0C"/>
    <w:rsid w:val="00A13A39"/>
    <w:rsid w:val="00A13BD2"/>
    <w:rsid w:val="00A14D39"/>
    <w:rsid w:val="00A14F6C"/>
    <w:rsid w:val="00A151D1"/>
    <w:rsid w:val="00A151ED"/>
    <w:rsid w:val="00A155E3"/>
    <w:rsid w:val="00A15E05"/>
    <w:rsid w:val="00A160A6"/>
    <w:rsid w:val="00A1654E"/>
    <w:rsid w:val="00A17360"/>
    <w:rsid w:val="00A17C0D"/>
    <w:rsid w:val="00A203D4"/>
    <w:rsid w:val="00A205D3"/>
    <w:rsid w:val="00A2078F"/>
    <w:rsid w:val="00A207E8"/>
    <w:rsid w:val="00A20CD1"/>
    <w:rsid w:val="00A2125E"/>
    <w:rsid w:val="00A21439"/>
    <w:rsid w:val="00A21CA7"/>
    <w:rsid w:val="00A21DC2"/>
    <w:rsid w:val="00A21E33"/>
    <w:rsid w:val="00A21ED7"/>
    <w:rsid w:val="00A21EE9"/>
    <w:rsid w:val="00A225F2"/>
    <w:rsid w:val="00A22A09"/>
    <w:rsid w:val="00A234FC"/>
    <w:rsid w:val="00A23901"/>
    <w:rsid w:val="00A239F3"/>
    <w:rsid w:val="00A23A31"/>
    <w:rsid w:val="00A24499"/>
    <w:rsid w:val="00A24624"/>
    <w:rsid w:val="00A25125"/>
    <w:rsid w:val="00A25188"/>
    <w:rsid w:val="00A256BE"/>
    <w:rsid w:val="00A272EB"/>
    <w:rsid w:val="00A274EC"/>
    <w:rsid w:val="00A27534"/>
    <w:rsid w:val="00A305AE"/>
    <w:rsid w:val="00A31703"/>
    <w:rsid w:val="00A31F02"/>
    <w:rsid w:val="00A31FFD"/>
    <w:rsid w:val="00A32F43"/>
    <w:rsid w:val="00A3391A"/>
    <w:rsid w:val="00A34753"/>
    <w:rsid w:val="00A34F17"/>
    <w:rsid w:val="00A354EA"/>
    <w:rsid w:val="00A35826"/>
    <w:rsid w:val="00A35C0E"/>
    <w:rsid w:val="00A3619E"/>
    <w:rsid w:val="00A361BC"/>
    <w:rsid w:val="00A36324"/>
    <w:rsid w:val="00A3688D"/>
    <w:rsid w:val="00A40CEF"/>
    <w:rsid w:val="00A4159A"/>
    <w:rsid w:val="00A4184B"/>
    <w:rsid w:val="00A41BF5"/>
    <w:rsid w:val="00A429C3"/>
    <w:rsid w:val="00A42A23"/>
    <w:rsid w:val="00A42F0F"/>
    <w:rsid w:val="00A43236"/>
    <w:rsid w:val="00A437D4"/>
    <w:rsid w:val="00A43B53"/>
    <w:rsid w:val="00A44928"/>
    <w:rsid w:val="00A46040"/>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4B7B"/>
    <w:rsid w:val="00A54CCE"/>
    <w:rsid w:val="00A54FA2"/>
    <w:rsid w:val="00A5521E"/>
    <w:rsid w:val="00A555C4"/>
    <w:rsid w:val="00A56528"/>
    <w:rsid w:val="00A56813"/>
    <w:rsid w:val="00A569F5"/>
    <w:rsid w:val="00A56CE8"/>
    <w:rsid w:val="00A57021"/>
    <w:rsid w:val="00A57569"/>
    <w:rsid w:val="00A578A4"/>
    <w:rsid w:val="00A57D55"/>
    <w:rsid w:val="00A60067"/>
    <w:rsid w:val="00A6035F"/>
    <w:rsid w:val="00A60666"/>
    <w:rsid w:val="00A60AB4"/>
    <w:rsid w:val="00A60C31"/>
    <w:rsid w:val="00A618FF"/>
    <w:rsid w:val="00A619EE"/>
    <w:rsid w:val="00A624FD"/>
    <w:rsid w:val="00A631E7"/>
    <w:rsid w:val="00A63232"/>
    <w:rsid w:val="00A64187"/>
    <w:rsid w:val="00A641FA"/>
    <w:rsid w:val="00A64A43"/>
    <w:rsid w:val="00A64C7A"/>
    <w:rsid w:val="00A650B7"/>
    <w:rsid w:val="00A65419"/>
    <w:rsid w:val="00A65606"/>
    <w:rsid w:val="00A65C0A"/>
    <w:rsid w:val="00A65FFD"/>
    <w:rsid w:val="00A6658E"/>
    <w:rsid w:val="00A665FF"/>
    <w:rsid w:val="00A67D48"/>
    <w:rsid w:val="00A7017C"/>
    <w:rsid w:val="00A70A32"/>
    <w:rsid w:val="00A71C3A"/>
    <w:rsid w:val="00A71CCB"/>
    <w:rsid w:val="00A71D15"/>
    <w:rsid w:val="00A72022"/>
    <w:rsid w:val="00A72636"/>
    <w:rsid w:val="00A72787"/>
    <w:rsid w:val="00A727E3"/>
    <w:rsid w:val="00A72A5D"/>
    <w:rsid w:val="00A72D9D"/>
    <w:rsid w:val="00A743FD"/>
    <w:rsid w:val="00A744C3"/>
    <w:rsid w:val="00A74955"/>
    <w:rsid w:val="00A74F66"/>
    <w:rsid w:val="00A753EA"/>
    <w:rsid w:val="00A75443"/>
    <w:rsid w:val="00A757E7"/>
    <w:rsid w:val="00A7583A"/>
    <w:rsid w:val="00A758FE"/>
    <w:rsid w:val="00A7592E"/>
    <w:rsid w:val="00A759BF"/>
    <w:rsid w:val="00A75F0B"/>
    <w:rsid w:val="00A76133"/>
    <w:rsid w:val="00A76239"/>
    <w:rsid w:val="00A77772"/>
    <w:rsid w:val="00A777E2"/>
    <w:rsid w:val="00A80755"/>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5551"/>
    <w:rsid w:val="00A86823"/>
    <w:rsid w:val="00A869F8"/>
    <w:rsid w:val="00A86C7D"/>
    <w:rsid w:val="00A8701E"/>
    <w:rsid w:val="00A874B5"/>
    <w:rsid w:val="00A877EC"/>
    <w:rsid w:val="00A8785B"/>
    <w:rsid w:val="00A87F1B"/>
    <w:rsid w:val="00A903AE"/>
    <w:rsid w:val="00A904A4"/>
    <w:rsid w:val="00A9099B"/>
    <w:rsid w:val="00A90AA8"/>
    <w:rsid w:val="00A90FF1"/>
    <w:rsid w:val="00A914E4"/>
    <w:rsid w:val="00A91C6E"/>
    <w:rsid w:val="00A91E82"/>
    <w:rsid w:val="00A9283B"/>
    <w:rsid w:val="00A934EF"/>
    <w:rsid w:val="00A93A4A"/>
    <w:rsid w:val="00A93F48"/>
    <w:rsid w:val="00A94413"/>
    <w:rsid w:val="00A945AD"/>
    <w:rsid w:val="00A94B65"/>
    <w:rsid w:val="00A94DD8"/>
    <w:rsid w:val="00A95787"/>
    <w:rsid w:val="00A958AB"/>
    <w:rsid w:val="00A959F4"/>
    <w:rsid w:val="00A96AC4"/>
    <w:rsid w:val="00A97415"/>
    <w:rsid w:val="00A977ED"/>
    <w:rsid w:val="00A9781E"/>
    <w:rsid w:val="00A97B1A"/>
    <w:rsid w:val="00A97E3E"/>
    <w:rsid w:val="00AA0DF9"/>
    <w:rsid w:val="00AA0F94"/>
    <w:rsid w:val="00AA0FEE"/>
    <w:rsid w:val="00AA178C"/>
    <w:rsid w:val="00AA184B"/>
    <w:rsid w:val="00AA1B1E"/>
    <w:rsid w:val="00AA2205"/>
    <w:rsid w:val="00AA26EF"/>
    <w:rsid w:val="00AA27FA"/>
    <w:rsid w:val="00AA3690"/>
    <w:rsid w:val="00AA4167"/>
    <w:rsid w:val="00AA4848"/>
    <w:rsid w:val="00AA4866"/>
    <w:rsid w:val="00AA509E"/>
    <w:rsid w:val="00AA5424"/>
    <w:rsid w:val="00AA5CC6"/>
    <w:rsid w:val="00AA5FF3"/>
    <w:rsid w:val="00AA690C"/>
    <w:rsid w:val="00AA710F"/>
    <w:rsid w:val="00AA74F5"/>
    <w:rsid w:val="00AA7650"/>
    <w:rsid w:val="00AB144D"/>
    <w:rsid w:val="00AB14FD"/>
    <w:rsid w:val="00AB158E"/>
    <w:rsid w:val="00AB1AC0"/>
    <w:rsid w:val="00AB1C8B"/>
    <w:rsid w:val="00AB1E8B"/>
    <w:rsid w:val="00AB2137"/>
    <w:rsid w:val="00AB21A2"/>
    <w:rsid w:val="00AB223C"/>
    <w:rsid w:val="00AB26ED"/>
    <w:rsid w:val="00AB2722"/>
    <w:rsid w:val="00AB283B"/>
    <w:rsid w:val="00AB35FC"/>
    <w:rsid w:val="00AB373B"/>
    <w:rsid w:val="00AB3A65"/>
    <w:rsid w:val="00AB3D5F"/>
    <w:rsid w:val="00AB3D9E"/>
    <w:rsid w:val="00AB41AD"/>
    <w:rsid w:val="00AB41CB"/>
    <w:rsid w:val="00AB4569"/>
    <w:rsid w:val="00AB45CD"/>
    <w:rsid w:val="00AB45ED"/>
    <w:rsid w:val="00AB4662"/>
    <w:rsid w:val="00AB4E1F"/>
    <w:rsid w:val="00AB4E63"/>
    <w:rsid w:val="00AB56E7"/>
    <w:rsid w:val="00AB590B"/>
    <w:rsid w:val="00AB5C05"/>
    <w:rsid w:val="00AB5C91"/>
    <w:rsid w:val="00AB5D55"/>
    <w:rsid w:val="00AB5DC8"/>
    <w:rsid w:val="00AB6DF6"/>
    <w:rsid w:val="00AB6FBD"/>
    <w:rsid w:val="00AB7494"/>
    <w:rsid w:val="00AB7BF8"/>
    <w:rsid w:val="00AC00C7"/>
    <w:rsid w:val="00AC0127"/>
    <w:rsid w:val="00AC0A35"/>
    <w:rsid w:val="00AC1515"/>
    <w:rsid w:val="00AC1A2D"/>
    <w:rsid w:val="00AC1E69"/>
    <w:rsid w:val="00AC2147"/>
    <w:rsid w:val="00AC235C"/>
    <w:rsid w:val="00AC28D8"/>
    <w:rsid w:val="00AC2935"/>
    <w:rsid w:val="00AC2E48"/>
    <w:rsid w:val="00AC2EB0"/>
    <w:rsid w:val="00AC2FFF"/>
    <w:rsid w:val="00AC3E8B"/>
    <w:rsid w:val="00AC44EF"/>
    <w:rsid w:val="00AC5290"/>
    <w:rsid w:val="00AC5582"/>
    <w:rsid w:val="00AC66A4"/>
    <w:rsid w:val="00AC66AD"/>
    <w:rsid w:val="00AC678D"/>
    <w:rsid w:val="00AC68C3"/>
    <w:rsid w:val="00AC694E"/>
    <w:rsid w:val="00AC73EE"/>
    <w:rsid w:val="00AD02A0"/>
    <w:rsid w:val="00AD0F0F"/>
    <w:rsid w:val="00AD1190"/>
    <w:rsid w:val="00AD1739"/>
    <w:rsid w:val="00AD1F5B"/>
    <w:rsid w:val="00AD203E"/>
    <w:rsid w:val="00AD2247"/>
    <w:rsid w:val="00AD2AB6"/>
    <w:rsid w:val="00AD2D2C"/>
    <w:rsid w:val="00AD2D59"/>
    <w:rsid w:val="00AD3217"/>
    <w:rsid w:val="00AD34E2"/>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CEA"/>
    <w:rsid w:val="00AE1069"/>
    <w:rsid w:val="00AE1167"/>
    <w:rsid w:val="00AE1341"/>
    <w:rsid w:val="00AE1DB5"/>
    <w:rsid w:val="00AE24A6"/>
    <w:rsid w:val="00AE2635"/>
    <w:rsid w:val="00AE2743"/>
    <w:rsid w:val="00AE2922"/>
    <w:rsid w:val="00AE2A91"/>
    <w:rsid w:val="00AE335F"/>
    <w:rsid w:val="00AE34B5"/>
    <w:rsid w:val="00AE471F"/>
    <w:rsid w:val="00AE4CEE"/>
    <w:rsid w:val="00AE5068"/>
    <w:rsid w:val="00AE6BAE"/>
    <w:rsid w:val="00AE6F99"/>
    <w:rsid w:val="00AE715C"/>
    <w:rsid w:val="00AE771A"/>
    <w:rsid w:val="00AE7A71"/>
    <w:rsid w:val="00AE7B36"/>
    <w:rsid w:val="00AF0126"/>
    <w:rsid w:val="00AF019F"/>
    <w:rsid w:val="00AF0542"/>
    <w:rsid w:val="00AF0670"/>
    <w:rsid w:val="00AF0A2F"/>
    <w:rsid w:val="00AF0F4C"/>
    <w:rsid w:val="00AF1141"/>
    <w:rsid w:val="00AF1C12"/>
    <w:rsid w:val="00AF1E9F"/>
    <w:rsid w:val="00AF1FD2"/>
    <w:rsid w:val="00AF2460"/>
    <w:rsid w:val="00AF3171"/>
    <w:rsid w:val="00AF345A"/>
    <w:rsid w:val="00AF3A80"/>
    <w:rsid w:val="00AF42E2"/>
    <w:rsid w:val="00AF433A"/>
    <w:rsid w:val="00AF435F"/>
    <w:rsid w:val="00AF4A26"/>
    <w:rsid w:val="00AF4D45"/>
    <w:rsid w:val="00AF4E4A"/>
    <w:rsid w:val="00AF5C47"/>
    <w:rsid w:val="00AF61D3"/>
    <w:rsid w:val="00AF7042"/>
    <w:rsid w:val="00AF74CF"/>
    <w:rsid w:val="00AF76DF"/>
    <w:rsid w:val="00AF7F6C"/>
    <w:rsid w:val="00B00C92"/>
    <w:rsid w:val="00B0111E"/>
    <w:rsid w:val="00B014D2"/>
    <w:rsid w:val="00B015D9"/>
    <w:rsid w:val="00B01DE7"/>
    <w:rsid w:val="00B02163"/>
    <w:rsid w:val="00B02302"/>
    <w:rsid w:val="00B02D0A"/>
    <w:rsid w:val="00B02F46"/>
    <w:rsid w:val="00B03389"/>
    <w:rsid w:val="00B03891"/>
    <w:rsid w:val="00B038D8"/>
    <w:rsid w:val="00B04356"/>
    <w:rsid w:val="00B04D59"/>
    <w:rsid w:val="00B05086"/>
    <w:rsid w:val="00B06010"/>
    <w:rsid w:val="00B0650D"/>
    <w:rsid w:val="00B0675D"/>
    <w:rsid w:val="00B06783"/>
    <w:rsid w:val="00B069E3"/>
    <w:rsid w:val="00B06B32"/>
    <w:rsid w:val="00B07582"/>
    <w:rsid w:val="00B077DB"/>
    <w:rsid w:val="00B109EC"/>
    <w:rsid w:val="00B10A4C"/>
    <w:rsid w:val="00B113F0"/>
    <w:rsid w:val="00B114B7"/>
    <w:rsid w:val="00B1243E"/>
    <w:rsid w:val="00B12518"/>
    <w:rsid w:val="00B12982"/>
    <w:rsid w:val="00B12C06"/>
    <w:rsid w:val="00B12D8D"/>
    <w:rsid w:val="00B13398"/>
    <w:rsid w:val="00B13DD4"/>
    <w:rsid w:val="00B13F63"/>
    <w:rsid w:val="00B13F72"/>
    <w:rsid w:val="00B144C4"/>
    <w:rsid w:val="00B145B1"/>
    <w:rsid w:val="00B14E82"/>
    <w:rsid w:val="00B150AA"/>
    <w:rsid w:val="00B1590D"/>
    <w:rsid w:val="00B15FBD"/>
    <w:rsid w:val="00B16102"/>
    <w:rsid w:val="00B165BB"/>
    <w:rsid w:val="00B16B9D"/>
    <w:rsid w:val="00B16BCF"/>
    <w:rsid w:val="00B17366"/>
    <w:rsid w:val="00B17792"/>
    <w:rsid w:val="00B200C7"/>
    <w:rsid w:val="00B21023"/>
    <w:rsid w:val="00B21920"/>
    <w:rsid w:val="00B21AC2"/>
    <w:rsid w:val="00B21FED"/>
    <w:rsid w:val="00B223F9"/>
    <w:rsid w:val="00B22F57"/>
    <w:rsid w:val="00B232C5"/>
    <w:rsid w:val="00B248CC"/>
    <w:rsid w:val="00B24B89"/>
    <w:rsid w:val="00B24F45"/>
    <w:rsid w:val="00B25123"/>
    <w:rsid w:val="00B252D7"/>
    <w:rsid w:val="00B2540D"/>
    <w:rsid w:val="00B25659"/>
    <w:rsid w:val="00B2593F"/>
    <w:rsid w:val="00B259A2"/>
    <w:rsid w:val="00B25A03"/>
    <w:rsid w:val="00B25B5A"/>
    <w:rsid w:val="00B2609A"/>
    <w:rsid w:val="00B26422"/>
    <w:rsid w:val="00B26A74"/>
    <w:rsid w:val="00B27084"/>
    <w:rsid w:val="00B27546"/>
    <w:rsid w:val="00B27E2C"/>
    <w:rsid w:val="00B27FAC"/>
    <w:rsid w:val="00B30603"/>
    <w:rsid w:val="00B308F9"/>
    <w:rsid w:val="00B30C8C"/>
    <w:rsid w:val="00B30CF1"/>
    <w:rsid w:val="00B30D50"/>
    <w:rsid w:val="00B3124E"/>
    <w:rsid w:val="00B3161A"/>
    <w:rsid w:val="00B31B6A"/>
    <w:rsid w:val="00B32E92"/>
    <w:rsid w:val="00B332F5"/>
    <w:rsid w:val="00B3355F"/>
    <w:rsid w:val="00B33B60"/>
    <w:rsid w:val="00B33BEB"/>
    <w:rsid w:val="00B34054"/>
    <w:rsid w:val="00B3451D"/>
    <w:rsid w:val="00B34F9A"/>
    <w:rsid w:val="00B3610C"/>
    <w:rsid w:val="00B361A3"/>
    <w:rsid w:val="00B36AB3"/>
    <w:rsid w:val="00B36DAE"/>
    <w:rsid w:val="00B36E05"/>
    <w:rsid w:val="00B36EC5"/>
    <w:rsid w:val="00B37053"/>
    <w:rsid w:val="00B377F0"/>
    <w:rsid w:val="00B378FE"/>
    <w:rsid w:val="00B40B60"/>
    <w:rsid w:val="00B41139"/>
    <w:rsid w:val="00B41383"/>
    <w:rsid w:val="00B413BD"/>
    <w:rsid w:val="00B416E1"/>
    <w:rsid w:val="00B41DA2"/>
    <w:rsid w:val="00B4292F"/>
    <w:rsid w:val="00B42F7F"/>
    <w:rsid w:val="00B43191"/>
    <w:rsid w:val="00B432EF"/>
    <w:rsid w:val="00B43ED8"/>
    <w:rsid w:val="00B44231"/>
    <w:rsid w:val="00B44DB1"/>
    <w:rsid w:val="00B45F4E"/>
    <w:rsid w:val="00B462A2"/>
    <w:rsid w:val="00B47445"/>
    <w:rsid w:val="00B51484"/>
    <w:rsid w:val="00B52453"/>
    <w:rsid w:val="00B52C97"/>
    <w:rsid w:val="00B539AB"/>
    <w:rsid w:val="00B544EB"/>
    <w:rsid w:val="00B54688"/>
    <w:rsid w:val="00B54B59"/>
    <w:rsid w:val="00B551F1"/>
    <w:rsid w:val="00B554C7"/>
    <w:rsid w:val="00B55B3E"/>
    <w:rsid w:val="00B5657D"/>
    <w:rsid w:val="00B56B74"/>
    <w:rsid w:val="00B57093"/>
    <w:rsid w:val="00B571E8"/>
    <w:rsid w:val="00B575FA"/>
    <w:rsid w:val="00B575FC"/>
    <w:rsid w:val="00B57BCB"/>
    <w:rsid w:val="00B57C1C"/>
    <w:rsid w:val="00B60024"/>
    <w:rsid w:val="00B60ADD"/>
    <w:rsid w:val="00B60C69"/>
    <w:rsid w:val="00B60DBD"/>
    <w:rsid w:val="00B61010"/>
    <w:rsid w:val="00B61306"/>
    <w:rsid w:val="00B61A49"/>
    <w:rsid w:val="00B61E3C"/>
    <w:rsid w:val="00B6324B"/>
    <w:rsid w:val="00B635DC"/>
    <w:rsid w:val="00B63E23"/>
    <w:rsid w:val="00B64045"/>
    <w:rsid w:val="00B6438E"/>
    <w:rsid w:val="00B649B9"/>
    <w:rsid w:val="00B64B97"/>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5B4"/>
    <w:rsid w:val="00B71753"/>
    <w:rsid w:val="00B725B6"/>
    <w:rsid w:val="00B726B7"/>
    <w:rsid w:val="00B72E8A"/>
    <w:rsid w:val="00B72F77"/>
    <w:rsid w:val="00B73115"/>
    <w:rsid w:val="00B732BC"/>
    <w:rsid w:val="00B735C6"/>
    <w:rsid w:val="00B73BB6"/>
    <w:rsid w:val="00B740EC"/>
    <w:rsid w:val="00B7410C"/>
    <w:rsid w:val="00B74283"/>
    <w:rsid w:val="00B74D6B"/>
    <w:rsid w:val="00B75345"/>
    <w:rsid w:val="00B75A9C"/>
    <w:rsid w:val="00B75BB2"/>
    <w:rsid w:val="00B763D5"/>
    <w:rsid w:val="00B77402"/>
    <w:rsid w:val="00B775EE"/>
    <w:rsid w:val="00B77720"/>
    <w:rsid w:val="00B77EBD"/>
    <w:rsid w:val="00B77F9D"/>
    <w:rsid w:val="00B805BB"/>
    <w:rsid w:val="00B8078D"/>
    <w:rsid w:val="00B812E5"/>
    <w:rsid w:val="00B81BFA"/>
    <w:rsid w:val="00B81EA5"/>
    <w:rsid w:val="00B82337"/>
    <w:rsid w:val="00B82A34"/>
    <w:rsid w:val="00B82DD0"/>
    <w:rsid w:val="00B83DEF"/>
    <w:rsid w:val="00B841B8"/>
    <w:rsid w:val="00B84588"/>
    <w:rsid w:val="00B846B6"/>
    <w:rsid w:val="00B85056"/>
    <w:rsid w:val="00B85178"/>
    <w:rsid w:val="00B851D5"/>
    <w:rsid w:val="00B85847"/>
    <w:rsid w:val="00B8595E"/>
    <w:rsid w:val="00B85B31"/>
    <w:rsid w:val="00B865B4"/>
    <w:rsid w:val="00B866E3"/>
    <w:rsid w:val="00B86887"/>
    <w:rsid w:val="00B86E80"/>
    <w:rsid w:val="00B870D4"/>
    <w:rsid w:val="00B871B6"/>
    <w:rsid w:val="00B8742E"/>
    <w:rsid w:val="00B90023"/>
    <w:rsid w:val="00B90483"/>
    <w:rsid w:val="00B90F86"/>
    <w:rsid w:val="00B916FC"/>
    <w:rsid w:val="00B91E2C"/>
    <w:rsid w:val="00B92189"/>
    <w:rsid w:val="00B92312"/>
    <w:rsid w:val="00B92401"/>
    <w:rsid w:val="00B937C1"/>
    <w:rsid w:val="00B93C3E"/>
    <w:rsid w:val="00B94107"/>
    <w:rsid w:val="00B949B7"/>
    <w:rsid w:val="00B956A9"/>
    <w:rsid w:val="00B956C7"/>
    <w:rsid w:val="00B957CD"/>
    <w:rsid w:val="00B9597F"/>
    <w:rsid w:val="00B95AB9"/>
    <w:rsid w:val="00B95C71"/>
    <w:rsid w:val="00B961F0"/>
    <w:rsid w:val="00B96374"/>
    <w:rsid w:val="00B96A5B"/>
    <w:rsid w:val="00B97831"/>
    <w:rsid w:val="00B97A8E"/>
    <w:rsid w:val="00B97DA4"/>
    <w:rsid w:val="00BA01E4"/>
    <w:rsid w:val="00BA05CA"/>
    <w:rsid w:val="00BA0E47"/>
    <w:rsid w:val="00BA0EC7"/>
    <w:rsid w:val="00BA104A"/>
    <w:rsid w:val="00BA194C"/>
    <w:rsid w:val="00BA1A4B"/>
    <w:rsid w:val="00BA1A8A"/>
    <w:rsid w:val="00BA1DBE"/>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A7D1A"/>
    <w:rsid w:val="00BB0468"/>
    <w:rsid w:val="00BB08A6"/>
    <w:rsid w:val="00BB0BC9"/>
    <w:rsid w:val="00BB1611"/>
    <w:rsid w:val="00BB18CD"/>
    <w:rsid w:val="00BB1EB7"/>
    <w:rsid w:val="00BB2123"/>
    <w:rsid w:val="00BB2BA9"/>
    <w:rsid w:val="00BB2DAC"/>
    <w:rsid w:val="00BB382B"/>
    <w:rsid w:val="00BB3B26"/>
    <w:rsid w:val="00BB410C"/>
    <w:rsid w:val="00BB41B8"/>
    <w:rsid w:val="00BB44C7"/>
    <w:rsid w:val="00BB45E4"/>
    <w:rsid w:val="00BB4BF3"/>
    <w:rsid w:val="00BB572B"/>
    <w:rsid w:val="00BB5DB9"/>
    <w:rsid w:val="00BB6518"/>
    <w:rsid w:val="00BB653F"/>
    <w:rsid w:val="00BB7549"/>
    <w:rsid w:val="00BB798E"/>
    <w:rsid w:val="00BB7D06"/>
    <w:rsid w:val="00BC078D"/>
    <w:rsid w:val="00BC0A33"/>
    <w:rsid w:val="00BC150D"/>
    <w:rsid w:val="00BC177E"/>
    <w:rsid w:val="00BC1811"/>
    <w:rsid w:val="00BC1AB8"/>
    <w:rsid w:val="00BC28AD"/>
    <w:rsid w:val="00BC2FAA"/>
    <w:rsid w:val="00BC36F0"/>
    <w:rsid w:val="00BC3F8D"/>
    <w:rsid w:val="00BC44A0"/>
    <w:rsid w:val="00BC4936"/>
    <w:rsid w:val="00BC5425"/>
    <w:rsid w:val="00BC55D8"/>
    <w:rsid w:val="00BC569B"/>
    <w:rsid w:val="00BC5CE4"/>
    <w:rsid w:val="00BC614F"/>
    <w:rsid w:val="00BC6452"/>
    <w:rsid w:val="00BC678B"/>
    <w:rsid w:val="00BC68CB"/>
    <w:rsid w:val="00BC6A18"/>
    <w:rsid w:val="00BC6B5C"/>
    <w:rsid w:val="00BC71A3"/>
    <w:rsid w:val="00BC76BA"/>
    <w:rsid w:val="00BD0165"/>
    <w:rsid w:val="00BD08E1"/>
    <w:rsid w:val="00BD0D80"/>
    <w:rsid w:val="00BD1928"/>
    <w:rsid w:val="00BD1B10"/>
    <w:rsid w:val="00BD294C"/>
    <w:rsid w:val="00BD2D61"/>
    <w:rsid w:val="00BD303D"/>
    <w:rsid w:val="00BD3509"/>
    <w:rsid w:val="00BD3EF9"/>
    <w:rsid w:val="00BD4430"/>
    <w:rsid w:val="00BD4521"/>
    <w:rsid w:val="00BD455D"/>
    <w:rsid w:val="00BD4639"/>
    <w:rsid w:val="00BD4803"/>
    <w:rsid w:val="00BD4D5B"/>
    <w:rsid w:val="00BD4DDB"/>
    <w:rsid w:val="00BD57A5"/>
    <w:rsid w:val="00BD5F1B"/>
    <w:rsid w:val="00BD65DC"/>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518"/>
    <w:rsid w:val="00BE281F"/>
    <w:rsid w:val="00BE29B4"/>
    <w:rsid w:val="00BE2A35"/>
    <w:rsid w:val="00BE45AE"/>
    <w:rsid w:val="00BE4628"/>
    <w:rsid w:val="00BE5411"/>
    <w:rsid w:val="00BE5520"/>
    <w:rsid w:val="00BE5D2F"/>
    <w:rsid w:val="00BE5F8E"/>
    <w:rsid w:val="00BE6016"/>
    <w:rsid w:val="00BE61F5"/>
    <w:rsid w:val="00BE6628"/>
    <w:rsid w:val="00BE6710"/>
    <w:rsid w:val="00BE6EA6"/>
    <w:rsid w:val="00BE7129"/>
    <w:rsid w:val="00BE732C"/>
    <w:rsid w:val="00BE7F1F"/>
    <w:rsid w:val="00BF18F1"/>
    <w:rsid w:val="00BF1D73"/>
    <w:rsid w:val="00BF1D83"/>
    <w:rsid w:val="00BF1E7D"/>
    <w:rsid w:val="00BF21D2"/>
    <w:rsid w:val="00BF2264"/>
    <w:rsid w:val="00BF25A8"/>
    <w:rsid w:val="00BF2895"/>
    <w:rsid w:val="00BF3085"/>
    <w:rsid w:val="00BF332E"/>
    <w:rsid w:val="00BF362D"/>
    <w:rsid w:val="00BF4511"/>
    <w:rsid w:val="00BF48E0"/>
    <w:rsid w:val="00BF4BA0"/>
    <w:rsid w:val="00BF55FF"/>
    <w:rsid w:val="00BF57D5"/>
    <w:rsid w:val="00BF5962"/>
    <w:rsid w:val="00BF6F8C"/>
    <w:rsid w:val="00BF7285"/>
    <w:rsid w:val="00BF77A0"/>
    <w:rsid w:val="00BF7FB0"/>
    <w:rsid w:val="00C00251"/>
    <w:rsid w:val="00C004F3"/>
    <w:rsid w:val="00C008B2"/>
    <w:rsid w:val="00C008C5"/>
    <w:rsid w:val="00C01592"/>
    <w:rsid w:val="00C01E81"/>
    <w:rsid w:val="00C020C7"/>
    <w:rsid w:val="00C02AB2"/>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726"/>
    <w:rsid w:val="00C11AF5"/>
    <w:rsid w:val="00C11B9A"/>
    <w:rsid w:val="00C11BE9"/>
    <w:rsid w:val="00C12070"/>
    <w:rsid w:val="00C128B8"/>
    <w:rsid w:val="00C12E59"/>
    <w:rsid w:val="00C1304A"/>
    <w:rsid w:val="00C13716"/>
    <w:rsid w:val="00C137DF"/>
    <w:rsid w:val="00C13916"/>
    <w:rsid w:val="00C13BAE"/>
    <w:rsid w:val="00C13DC3"/>
    <w:rsid w:val="00C1509F"/>
    <w:rsid w:val="00C170E2"/>
    <w:rsid w:val="00C17766"/>
    <w:rsid w:val="00C17B87"/>
    <w:rsid w:val="00C17C1A"/>
    <w:rsid w:val="00C20292"/>
    <w:rsid w:val="00C211D2"/>
    <w:rsid w:val="00C21496"/>
    <w:rsid w:val="00C2155B"/>
    <w:rsid w:val="00C218B1"/>
    <w:rsid w:val="00C21A0C"/>
    <w:rsid w:val="00C22079"/>
    <w:rsid w:val="00C22132"/>
    <w:rsid w:val="00C2234C"/>
    <w:rsid w:val="00C2253F"/>
    <w:rsid w:val="00C2284E"/>
    <w:rsid w:val="00C23206"/>
    <w:rsid w:val="00C232C1"/>
    <w:rsid w:val="00C23583"/>
    <w:rsid w:val="00C24081"/>
    <w:rsid w:val="00C241D3"/>
    <w:rsid w:val="00C24FAF"/>
    <w:rsid w:val="00C25281"/>
    <w:rsid w:val="00C257AC"/>
    <w:rsid w:val="00C259D6"/>
    <w:rsid w:val="00C25D03"/>
    <w:rsid w:val="00C25E74"/>
    <w:rsid w:val="00C261AB"/>
    <w:rsid w:val="00C27178"/>
    <w:rsid w:val="00C2728A"/>
    <w:rsid w:val="00C275B7"/>
    <w:rsid w:val="00C277E9"/>
    <w:rsid w:val="00C27F15"/>
    <w:rsid w:val="00C303A3"/>
    <w:rsid w:val="00C3059C"/>
    <w:rsid w:val="00C3093C"/>
    <w:rsid w:val="00C30AAC"/>
    <w:rsid w:val="00C30B84"/>
    <w:rsid w:val="00C30E5E"/>
    <w:rsid w:val="00C3105D"/>
    <w:rsid w:val="00C317D3"/>
    <w:rsid w:val="00C318F1"/>
    <w:rsid w:val="00C3228E"/>
    <w:rsid w:val="00C327FF"/>
    <w:rsid w:val="00C32978"/>
    <w:rsid w:val="00C32B71"/>
    <w:rsid w:val="00C33F06"/>
    <w:rsid w:val="00C33F6C"/>
    <w:rsid w:val="00C3447C"/>
    <w:rsid w:val="00C34899"/>
    <w:rsid w:val="00C348CA"/>
    <w:rsid w:val="00C3501A"/>
    <w:rsid w:val="00C35647"/>
    <w:rsid w:val="00C35EF4"/>
    <w:rsid w:val="00C36260"/>
    <w:rsid w:val="00C36C19"/>
    <w:rsid w:val="00C36FA0"/>
    <w:rsid w:val="00C371EE"/>
    <w:rsid w:val="00C40210"/>
    <w:rsid w:val="00C41340"/>
    <w:rsid w:val="00C4175A"/>
    <w:rsid w:val="00C418E4"/>
    <w:rsid w:val="00C41C4D"/>
    <w:rsid w:val="00C41E38"/>
    <w:rsid w:val="00C424DA"/>
    <w:rsid w:val="00C427B0"/>
    <w:rsid w:val="00C42829"/>
    <w:rsid w:val="00C4293A"/>
    <w:rsid w:val="00C429F4"/>
    <w:rsid w:val="00C42C8B"/>
    <w:rsid w:val="00C42D64"/>
    <w:rsid w:val="00C4395C"/>
    <w:rsid w:val="00C441DF"/>
    <w:rsid w:val="00C445C6"/>
    <w:rsid w:val="00C44949"/>
    <w:rsid w:val="00C45374"/>
    <w:rsid w:val="00C453B5"/>
    <w:rsid w:val="00C458FA"/>
    <w:rsid w:val="00C45A65"/>
    <w:rsid w:val="00C4654C"/>
    <w:rsid w:val="00C46A06"/>
    <w:rsid w:val="00C4762A"/>
    <w:rsid w:val="00C47933"/>
    <w:rsid w:val="00C47E23"/>
    <w:rsid w:val="00C47F88"/>
    <w:rsid w:val="00C50E13"/>
    <w:rsid w:val="00C520DC"/>
    <w:rsid w:val="00C526D5"/>
    <w:rsid w:val="00C53035"/>
    <w:rsid w:val="00C535F7"/>
    <w:rsid w:val="00C53AB2"/>
    <w:rsid w:val="00C54E5D"/>
    <w:rsid w:val="00C55415"/>
    <w:rsid w:val="00C5616A"/>
    <w:rsid w:val="00C565BA"/>
    <w:rsid w:val="00C56D7D"/>
    <w:rsid w:val="00C56F65"/>
    <w:rsid w:val="00C5705C"/>
    <w:rsid w:val="00C57461"/>
    <w:rsid w:val="00C5747F"/>
    <w:rsid w:val="00C57546"/>
    <w:rsid w:val="00C579AB"/>
    <w:rsid w:val="00C57C2F"/>
    <w:rsid w:val="00C57F4D"/>
    <w:rsid w:val="00C60C01"/>
    <w:rsid w:val="00C60C0D"/>
    <w:rsid w:val="00C614D3"/>
    <w:rsid w:val="00C62148"/>
    <w:rsid w:val="00C62317"/>
    <w:rsid w:val="00C626B8"/>
    <w:rsid w:val="00C62808"/>
    <w:rsid w:val="00C6283C"/>
    <w:rsid w:val="00C63273"/>
    <w:rsid w:val="00C633A9"/>
    <w:rsid w:val="00C63A22"/>
    <w:rsid w:val="00C63D14"/>
    <w:rsid w:val="00C63E6D"/>
    <w:rsid w:val="00C63E83"/>
    <w:rsid w:val="00C6417C"/>
    <w:rsid w:val="00C641B8"/>
    <w:rsid w:val="00C6574D"/>
    <w:rsid w:val="00C66035"/>
    <w:rsid w:val="00C66109"/>
    <w:rsid w:val="00C666BE"/>
    <w:rsid w:val="00C66760"/>
    <w:rsid w:val="00C67A81"/>
    <w:rsid w:val="00C704DF"/>
    <w:rsid w:val="00C705F3"/>
    <w:rsid w:val="00C70624"/>
    <w:rsid w:val="00C7076E"/>
    <w:rsid w:val="00C70D62"/>
    <w:rsid w:val="00C70EE4"/>
    <w:rsid w:val="00C71DFE"/>
    <w:rsid w:val="00C71F2F"/>
    <w:rsid w:val="00C723D7"/>
    <w:rsid w:val="00C72415"/>
    <w:rsid w:val="00C72451"/>
    <w:rsid w:val="00C72ADC"/>
    <w:rsid w:val="00C72DEF"/>
    <w:rsid w:val="00C72DF3"/>
    <w:rsid w:val="00C72EEC"/>
    <w:rsid w:val="00C73A00"/>
    <w:rsid w:val="00C73E5D"/>
    <w:rsid w:val="00C7446F"/>
    <w:rsid w:val="00C74920"/>
    <w:rsid w:val="00C74CC2"/>
    <w:rsid w:val="00C75BD9"/>
    <w:rsid w:val="00C75D00"/>
    <w:rsid w:val="00C75E75"/>
    <w:rsid w:val="00C76F8F"/>
    <w:rsid w:val="00C77953"/>
    <w:rsid w:val="00C80781"/>
    <w:rsid w:val="00C8115E"/>
    <w:rsid w:val="00C812A5"/>
    <w:rsid w:val="00C81311"/>
    <w:rsid w:val="00C81A97"/>
    <w:rsid w:val="00C8208E"/>
    <w:rsid w:val="00C82818"/>
    <w:rsid w:val="00C829BF"/>
    <w:rsid w:val="00C83538"/>
    <w:rsid w:val="00C836E4"/>
    <w:rsid w:val="00C83806"/>
    <w:rsid w:val="00C841B8"/>
    <w:rsid w:val="00C84C4C"/>
    <w:rsid w:val="00C85173"/>
    <w:rsid w:val="00C85B59"/>
    <w:rsid w:val="00C8607E"/>
    <w:rsid w:val="00C862A7"/>
    <w:rsid w:val="00C86DA3"/>
    <w:rsid w:val="00C87208"/>
    <w:rsid w:val="00C87742"/>
    <w:rsid w:val="00C87E12"/>
    <w:rsid w:val="00C87EF9"/>
    <w:rsid w:val="00C87F8C"/>
    <w:rsid w:val="00C90563"/>
    <w:rsid w:val="00C907D7"/>
    <w:rsid w:val="00C90EA7"/>
    <w:rsid w:val="00C912AC"/>
    <w:rsid w:val="00C91C4C"/>
    <w:rsid w:val="00C92763"/>
    <w:rsid w:val="00C9294D"/>
    <w:rsid w:val="00C92D6B"/>
    <w:rsid w:val="00C92EA7"/>
    <w:rsid w:val="00C93135"/>
    <w:rsid w:val="00C93995"/>
    <w:rsid w:val="00C93AB7"/>
    <w:rsid w:val="00C94837"/>
    <w:rsid w:val="00C94C1B"/>
    <w:rsid w:val="00C95248"/>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637"/>
    <w:rsid w:val="00CA4D13"/>
    <w:rsid w:val="00CA5459"/>
    <w:rsid w:val="00CA5B25"/>
    <w:rsid w:val="00CA61AB"/>
    <w:rsid w:val="00CA6434"/>
    <w:rsid w:val="00CA67F8"/>
    <w:rsid w:val="00CA6A54"/>
    <w:rsid w:val="00CA7103"/>
    <w:rsid w:val="00CA73D1"/>
    <w:rsid w:val="00CA78B1"/>
    <w:rsid w:val="00CA79E6"/>
    <w:rsid w:val="00CA7A3F"/>
    <w:rsid w:val="00CB0367"/>
    <w:rsid w:val="00CB160A"/>
    <w:rsid w:val="00CB1E27"/>
    <w:rsid w:val="00CB22B4"/>
    <w:rsid w:val="00CB22DE"/>
    <w:rsid w:val="00CB2331"/>
    <w:rsid w:val="00CB2BAE"/>
    <w:rsid w:val="00CB2C8C"/>
    <w:rsid w:val="00CB2DC5"/>
    <w:rsid w:val="00CB2E03"/>
    <w:rsid w:val="00CB2E79"/>
    <w:rsid w:val="00CB3023"/>
    <w:rsid w:val="00CB399C"/>
    <w:rsid w:val="00CB3C98"/>
    <w:rsid w:val="00CB4836"/>
    <w:rsid w:val="00CB4AE2"/>
    <w:rsid w:val="00CB4C78"/>
    <w:rsid w:val="00CB5680"/>
    <w:rsid w:val="00CB5CB4"/>
    <w:rsid w:val="00CB5F65"/>
    <w:rsid w:val="00CB68C6"/>
    <w:rsid w:val="00CB6A14"/>
    <w:rsid w:val="00CB6F0A"/>
    <w:rsid w:val="00CB6F2F"/>
    <w:rsid w:val="00CC04C2"/>
    <w:rsid w:val="00CC0D5D"/>
    <w:rsid w:val="00CC14B5"/>
    <w:rsid w:val="00CC192B"/>
    <w:rsid w:val="00CC1E64"/>
    <w:rsid w:val="00CC3700"/>
    <w:rsid w:val="00CC3CC4"/>
    <w:rsid w:val="00CC4079"/>
    <w:rsid w:val="00CC40B7"/>
    <w:rsid w:val="00CC40C0"/>
    <w:rsid w:val="00CC5080"/>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7C2"/>
    <w:rsid w:val="00CD3A08"/>
    <w:rsid w:val="00CD3A71"/>
    <w:rsid w:val="00CD3B95"/>
    <w:rsid w:val="00CD43D5"/>
    <w:rsid w:val="00CD47EE"/>
    <w:rsid w:val="00CD4923"/>
    <w:rsid w:val="00CD4DBD"/>
    <w:rsid w:val="00CD5772"/>
    <w:rsid w:val="00CD5BD8"/>
    <w:rsid w:val="00CD624A"/>
    <w:rsid w:val="00CD682E"/>
    <w:rsid w:val="00CD6D83"/>
    <w:rsid w:val="00CD79F5"/>
    <w:rsid w:val="00CD7CFB"/>
    <w:rsid w:val="00CE0180"/>
    <w:rsid w:val="00CE0340"/>
    <w:rsid w:val="00CE0BEF"/>
    <w:rsid w:val="00CE122C"/>
    <w:rsid w:val="00CE1825"/>
    <w:rsid w:val="00CE1B34"/>
    <w:rsid w:val="00CE2308"/>
    <w:rsid w:val="00CE2B32"/>
    <w:rsid w:val="00CE2EA2"/>
    <w:rsid w:val="00CE3B1D"/>
    <w:rsid w:val="00CE3EBF"/>
    <w:rsid w:val="00CE49C9"/>
    <w:rsid w:val="00CE4F90"/>
    <w:rsid w:val="00CE51BC"/>
    <w:rsid w:val="00CE544D"/>
    <w:rsid w:val="00CE5610"/>
    <w:rsid w:val="00CE5B6B"/>
    <w:rsid w:val="00CE5E48"/>
    <w:rsid w:val="00CE5F5D"/>
    <w:rsid w:val="00CE655C"/>
    <w:rsid w:val="00CE6EFD"/>
    <w:rsid w:val="00CE6F59"/>
    <w:rsid w:val="00CE74E8"/>
    <w:rsid w:val="00CE774F"/>
    <w:rsid w:val="00CE7A31"/>
    <w:rsid w:val="00CF001A"/>
    <w:rsid w:val="00CF02F9"/>
    <w:rsid w:val="00CF0BA3"/>
    <w:rsid w:val="00CF0FFE"/>
    <w:rsid w:val="00CF1250"/>
    <w:rsid w:val="00CF1317"/>
    <w:rsid w:val="00CF14AE"/>
    <w:rsid w:val="00CF1939"/>
    <w:rsid w:val="00CF1A66"/>
    <w:rsid w:val="00CF2221"/>
    <w:rsid w:val="00CF2771"/>
    <w:rsid w:val="00CF2840"/>
    <w:rsid w:val="00CF2D6D"/>
    <w:rsid w:val="00CF2E08"/>
    <w:rsid w:val="00CF34C4"/>
    <w:rsid w:val="00CF39A0"/>
    <w:rsid w:val="00CF4198"/>
    <w:rsid w:val="00CF51F5"/>
    <w:rsid w:val="00CF5FDD"/>
    <w:rsid w:val="00CF6446"/>
    <w:rsid w:val="00CF6552"/>
    <w:rsid w:val="00CF656C"/>
    <w:rsid w:val="00CF69D1"/>
    <w:rsid w:val="00D004BD"/>
    <w:rsid w:val="00D00800"/>
    <w:rsid w:val="00D00812"/>
    <w:rsid w:val="00D0084C"/>
    <w:rsid w:val="00D00D79"/>
    <w:rsid w:val="00D00F95"/>
    <w:rsid w:val="00D01035"/>
    <w:rsid w:val="00D0124F"/>
    <w:rsid w:val="00D012AE"/>
    <w:rsid w:val="00D0151A"/>
    <w:rsid w:val="00D01D9B"/>
    <w:rsid w:val="00D01DE6"/>
    <w:rsid w:val="00D02287"/>
    <w:rsid w:val="00D02AD1"/>
    <w:rsid w:val="00D02C5A"/>
    <w:rsid w:val="00D03106"/>
    <w:rsid w:val="00D032E0"/>
    <w:rsid w:val="00D03A07"/>
    <w:rsid w:val="00D03CAA"/>
    <w:rsid w:val="00D03DDD"/>
    <w:rsid w:val="00D03F98"/>
    <w:rsid w:val="00D042D5"/>
    <w:rsid w:val="00D048C4"/>
    <w:rsid w:val="00D04F01"/>
    <w:rsid w:val="00D0506B"/>
    <w:rsid w:val="00D051CD"/>
    <w:rsid w:val="00D05270"/>
    <w:rsid w:val="00D0549D"/>
    <w:rsid w:val="00D059E7"/>
    <w:rsid w:val="00D05A31"/>
    <w:rsid w:val="00D05F72"/>
    <w:rsid w:val="00D07020"/>
    <w:rsid w:val="00D0716B"/>
    <w:rsid w:val="00D077EE"/>
    <w:rsid w:val="00D10258"/>
    <w:rsid w:val="00D105F3"/>
    <w:rsid w:val="00D106C0"/>
    <w:rsid w:val="00D10C91"/>
    <w:rsid w:val="00D10F7F"/>
    <w:rsid w:val="00D1120D"/>
    <w:rsid w:val="00D116C8"/>
    <w:rsid w:val="00D11EF5"/>
    <w:rsid w:val="00D1252F"/>
    <w:rsid w:val="00D12727"/>
    <w:rsid w:val="00D1307B"/>
    <w:rsid w:val="00D130A1"/>
    <w:rsid w:val="00D137E7"/>
    <w:rsid w:val="00D139D2"/>
    <w:rsid w:val="00D13C33"/>
    <w:rsid w:val="00D13FEC"/>
    <w:rsid w:val="00D15051"/>
    <w:rsid w:val="00D15194"/>
    <w:rsid w:val="00D1555F"/>
    <w:rsid w:val="00D156A4"/>
    <w:rsid w:val="00D157B7"/>
    <w:rsid w:val="00D1591B"/>
    <w:rsid w:val="00D15A14"/>
    <w:rsid w:val="00D15B19"/>
    <w:rsid w:val="00D163E8"/>
    <w:rsid w:val="00D164BB"/>
    <w:rsid w:val="00D16B70"/>
    <w:rsid w:val="00D17162"/>
    <w:rsid w:val="00D1720E"/>
    <w:rsid w:val="00D17809"/>
    <w:rsid w:val="00D178B6"/>
    <w:rsid w:val="00D20251"/>
    <w:rsid w:val="00D210CF"/>
    <w:rsid w:val="00D21AE3"/>
    <w:rsid w:val="00D21B9E"/>
    <w:rsid w:val="00D22060"/>
    <w:rsid w:val="00D22F7C"/>
    <w:rsid w:val="00D2312A"/>
    <w:rsid w:val="00D24238"/>
    <w:rsid w:val="00D242CC"/>
    <w:rsid w:val="00D24540"/>
    <w:rsid w:val="00D24858"/>
    <w:rsid w:val="00D24B40"/>
    <w:rsid w:val="00D24C4B"/>
    <w:rsid w:val="00D24CA3"/>
    <w:rsid w:val="00D24D56"/>
    <w:rsid w:val="00D24E29"/>
    <w:rsid w:val="00D25556"/>
    <w:rsid w:val="00D25E82"/>
    <w:rsid w:val="00D25FDE"/>
    <w:rsid w:val="00D262FE"/>
    <w:rsid w:val="00D2634C"/>
    <w:rsid w:val="00D2695A"/>
    <w:rsid w:val="00D26A42"/>
    <w:rsid w:val="00D277B1"/>
    <w:rsid w:val="00D278CE"/>
    <w:rsid w:val="00D27A92"/>
    <w:rsid w:val="00D30300"/>
    <w:rsid w:val="00D31077"/>
    <w:rsid w:val="00D311CC"/>
    <w:rsid w:val="00D311F1"/>
    <w:rsid w:val="00D31605"/>
    <w:rsid w:val="00D3164A"/>
    <w:rsid w:val="00D31A03"/>
    <w:rsid w:val="00D31A86"/>
    <w:rsid w:val="00D321A8"/>
    <w:rsid w:val="00D323AD"/>
    <w:rsid w:val="00D325E5"/>
    <w:rsid w:val="00D328EE"/>
    <w:rsid w:val="00D333B9"/>
    <w:rsid w:val="00D3349E"/>
    <w:rsid w:val="00D33979"/>
    <w:rsid w:val="00D33E3B"/>
    <w:rsid w:val="00D341DD"/>
    <w:rsid w:val="00D344DD"/>
    <w:rsid w:val="00D34C13"/>
    <w:rsid w:val="00D34DF8"/>
    <w:rsid w:val="00D35024"/>
    <w:rsid w:val="00D354EF"/>
    <w:rsid w:val="00D358C8"/>
    <w:rsid w:val="00D35EF0"/>
    <w:rsid w:val="00D36486"/>
    <w:rsid w:val="00D36DEB"/>
    <w:rsid w:val="00D374AF"/>
    <w:rsid w:val="00D37BF6"/>
    <w:rsid w:val="00D37EF6"/>
    <w:rsid w:val="00D37FD1"/>
    <w:rsid w:val="00D40227"/>
    <w:rsid w:val="00D405A5"/>
    <w:rsid w:val="00D41153"/>
    <w:rsid w:val="00D413E1"/>
    <w:rsid w:val="00D41A34"/>
    <w:rsid w:val="00D422AA"/>
    <w:rsid w:val="00D42C92"/>
    <w:rsid w:val="00D434F4"/>
    <w:rsid w:val="00D4350B"/>
    <w:rsid w:val="00D43E3E"/>
    <w:rsid w:val="00D43F47"/>
    <w:rsid w:val="00D442CA"/>
    <w:rsid w:val="00D44393"/>
    <w:rsid w:val="00D44532"/>
    <w:rsid w:val="00D44719"/>
    <w:rsid w:val="00D44B07"/>
    <w:rsid w:val="00D450E8"/>
    <w:rsid w:val="00D451E3"/>
    <w:rsid w:val="00D45470"/>
    <w:rsid w:val="00D4567B"/>
    <w:rsid w:val="00D459C8"/>
    <w:rsid w:val="00D46332"/>
    <w:rsid w:val="00D46652"/>
    <w:rsid w:val="00D4741E"/>
    <w:rsid w:val="00D47CF9"/>
    <w:rsid w:val="00D5145A"/>
    <w:rsid w:val="00D51626"/>
    <w:rsid w:val="00D516EA"/>
    <w:rsid w:val="00D51769"/>
    <w:rsid w:val="00D521A0"/>
    <w:rsid w:val="00D521FC"/>
    <w:rsid w:val="00D52332"/>
    <w:rsid w:val="00D52C3A"/>
    <w:rsid w:val="00D53B9A"/>
    <w:rsid w:val="00D53DA9"/>
    <w:rsid w:val="00D545E9"/>
    <w:rsid w:val="00D55D94"/>
    <w:rsid w:val="00D55EF6"/>
    <w:rsid w:val="00D56700"/>
    <w:rsid w:val="00D56857"/>
    <w:rsid w:val="00D56B78"/>
    <w:rsid w:val="00D56BBE"/>
    <w:rsid w:val="00D56DB8"/>
    <w:rsid w:val="00D57464"/>
    <w:rsid w:val="00D575FA"/>
    <w:rsid w:val="00D5799A"/>
    <w:rsid w:val="00D57C0C"/>
    <w:rsid w:val="00D57F3C"/>
    <w:rsid w:val="00D57FC1"/>
    <w:rsid w:val="00D6003B"/>
    <w:rsid w:val="00D602C1"/>
    <w:rsid w:val="00D602EA"/>
    <w:rsid w:val="00D6057F"/>
    <w:rsid w:val="00D60F9D"/>
    <w:rsid w:val="00D6102B"/>
    <w:rsid w:val="00D61566"/>
    <w:rsid w:val="00D61726"/>
    <w:rsid w:val="00D61EB6"/>
    <w:rsid w:val="00D62467"/>
    <w:rsid w:val="00D62B5F"/>
    <w:rsid w:val="00D62C17"/>
    <w:rsid w:val="00D62C2D"/>
    <w:rsid w:val="00D6324D"/>
    <w:rsid w:val="00D6444A"/>
    <w:rsid w:val="00D6483E"/>
    <w:rsid w:val="00D65852"/>
    <w:rsid w:val="00D65D1D"/>
    <w:rsid w:val="00D66053"/>
    <w:rsid w:val="00D6615D"/>
    <w:rsid w:val="00D66380"/>
    <w:rsid w:val="00D66546"/>
    <w:rsid w:val="00D70878"/>
    <w:rsid w:val="00D708B3"/>
    <w:rsid w:val="00D70D53"/>
    <w:rsid w:val="00D70EB9"/>
    <w:rsid w:val="00D70F9C"/>
    <w:rsid w:val="00D710BE"/>
    <w:rsid w:val="00D71589"/>
    <w:rsid w:val="00D718B5"/>
    <w:rsid w:val="00D71BE4"/>
    <w:rsid w:val="00D71C02"/>
    <w:rsid w:val="00D72BFA"/>
    <w:rsid w:val="00D73DD1"/>
    <w:rsid w:val="00D73E6F"/>
    <w:rsid w:val="00D7429B"/>
    <w:rsid w:val="00D7482A"/>
    <w:rsid w:val="00D74973"/>
    <w:rsid w:val="00D749AB"/>
    <w:rsid w:val="00D751BF"/>
    <w:rsid w:val="00D753C4"/>
    <w:rsid w:val="00D75482"/>
    <w:rsid w:val="00D7557A"/>
    <w:rsid w:val="00D7564B"/>
    <w:rsid w:val="00D76037"/>
    <w:rsid w:val="00D7605E"/>
    <w:rsid w:val="00D763D0"/>
    <w:rsid w:val="00D76682"/>
    <w:rsid w:val="00D767C2"/>
    <w:rsid w:val="00D76B7A"/>
    <w:rsid w:val="00D770F7"/>
    <w:rsid w:val="00D772D5"/>
    <w:rsid w:val="00D77DD7"/>
    <w:rsid w:val="00D8004E"/>
    <w:rsid w:val="00D80108"/>
    <w:rsid w:val="00D8033C"/>
    <w:rsid w:val="00D80795"/>
    <w:rsid w:val="00D8086F"/>
    <w:rsid w:val="00D80DA6"/>
    <w:rsid w:val="00D80F04"/>
    <w:rsid w:val="00D810C7"/>
    <w:rsid w:val="00D81ADE"/>
    <w:rsid w:val="00D833A2"/>
    <w:rsid w:val="00D8394A"/>
    <w:rsid w:val="00D83FEF"/>
    <w:rsid w:val="00D8424E"/>
    <w:rsid w:val="00D84284"/>
    <w:rsid w:val="00D8446D"/>
    <w:rsid w:val="00D84BEE"/>
    <w:rsid w:val="00D84DD9"/>
    <w:rsid w:val="00D8522B"/>
    <w:rsid w:val="00D85370"/>
    <w:rsid w:val="00D85623"/>
    <w:rsid w:val="00D8596E"/>
    <w:rsid w:val="00D861A0"/>
    <w:rsid w:val="00D86252"/>
    <w:rsid w:val="00D865E8"/>
    <w:rsid w:val="00D86932"/>
    <w:rsid w:val="00D869D8"/>
    <w:rsid w:val="00D86AEE"/>
    <w:rsid w:val="00D86D1C"/>
    <w:rsid w:val="00D87017"/>
    <w:rsid w:val="00D8776F"/>
    <w:rsid w:val="00D87875"/>
    <w:rsid w:val="00D87B50"/>
    <w:rsid w:val="00D87BB0"/>
    <w:rsid w:val="00D87D8E"/>
    <w:rsid w:val="00D906AA"/>
    <w:rsid w:val="00D906DF"/>
    <w:rsid w:val="00D90E7C"/>
    <w:rsid w:val="00D9109A"/>
    <w:rsid w:val="00D91827"/>
    <w:rsid w:val="00D91846"/>
    <w:rsid w:val="00D92505"/>
    <w:rsid w:val="00D92892"/>
    <w:rsid w:val="00D931B6"/>
    <w:rsid w:val="00D937C5"/>
    <w:rsid w:val="00D93996"/>
    <w:rsid w:val="00D943D2"/>
    <w:rsid w:val="00D9442E"/>
    <w:rsid w:val="00D94654"/>
    <w:rsid w:val="00D94B75"/>
    <w:rsid w:val="00D95249"/>
    <w:rsid w:val="00D957E7"/>
    <w:rsid w:val="00D95958"/>
    <w:rsid w:val="00D95A48"/>
    <w:rsid w:val="00D96A23"/>
    <w:rsid w:val="00D96FB2"/>
    <w:rsid w:val="00D97655"/>
    <w:rsid w:val="00D976C0"/>
    <w:rsid w:val="00DA0667"/>
    <w:rsid w:val="00DA088E"/>
    <w:rsid w:val="00DA094E"/>
    <w:rsid w:val="00DA0958"/>
    <w:rsid w:val="00DA0B14"/>
    <w:rsid w:val="00DA1470"/>
    <w:rsid w:val="00DA1BD3"/>
    <w:rsid w:val="00DA2665"/>
    <w:rsid w:val="00DA327D"/>
    <w:rsid w:val="00DA34BA"/>
    <w:rsid w:val="00DA3929"/>
    <w:rsid w:val="00DA3D21"/>
    <w:rsid w:val="00DA42A8"/>
    <w:rsid w:val="00DA4404"/>
    <w:rsid w:val="00DA4834"/>
    <w:rsid w:val="00DA4DFC"/>
    <w:rsid w:val="00DA50A6"/>
    <w:rsid w:val="00DA5170"/>
    <w:rsid w:val="00DA55FA"/>
    <w:rsid w:val="00DA594B"/>
    <w:rsid w:val="00DA5D64"/>
    <w:rsid w:val="00DA6FAE"/>
    <w:rsid w:val="00DA702B"/>
    <w:rsid w:val="00DA74AE"/>
    <w:rsid w:val="00DB0709"/>
    <w:rsid w:val="00DB0DC2"/>
    <w:rsid w:val="00DB1288"/>
    <w:rsid w:val="00DB1869"/>
    <w:rsid w:val="00DB1DD5"/>
    <w:rsid w:val="00DB1F6F"/>
    <w:rsid w:val="00DB29E1"/>
    <w:rsid w:val="00DB2A16"/>
    <w:rsid w:val="00DB2A6F"/>
    <w:rsid w:val="00DB2CDC"/>
    <w:rsid w:val="00DB3300"/>
    <w:rsid w:val="00DB33F2"/>
    <w:rsid w:val="00DB3D82"/>
    <w:rsid w:val="00DB40C4"/>
    <w:rsid w:val="00DB40D4"/>
    <w:rsid w:val="00DB42BD"/>
    <w:rsid w:val="00DB50A5"/>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9C7"/>
    <w:rsid w:val="00DC1D36"/>
    <w:rsid w:val="00DC20AD"/>
    <w:rsid w:val="00DC2631"/>
    <w:rsid w:val="00DC26A1"/>
    <w:rsid w:val="00DC345C"/>
    <w:rsid w:val="00DC3E25"/>
    <w:rsid w:val="00DC4557"/>
    <w:rsid w:val="00DC469A"/>
    <w:rsid w:val="00DC4C02"/>
    <w:rsid w:val="00DC502F"/>
    <w:rsid w:val="00DC5291"/>
    <w:rsid w:val="00DC5602"/>
    <w:rsid w:val="00DC5C94"/>
    <w:rsid w:val="00DC645B"/>
    <w:rsid w:val="00DC672D"/>
    <w:rsid w:val="00DC6E4D"/>
    <w:rsid w:val="00DC6E65"/>
    <w:rsid w:val="00DC7690"/>
    <w:rsid w:val="00DC7A05"/>
    <w:rsid w:val="00DD013E"/>
    <w:rsid w:val="00DD01D1"/>
    <w:rsid w:val="00DD0762"/>
    <w:rsid w:val="00DD0A37"/>
    <w:rsid w:val="00DD0DD2"/>
    <w:rsid w:val="00DD0E93"/>
    <w:rsid w:val="00DD1047"/>
    <w:rsid w:val="00DD10E6"/>
    <w:rsid w:val="00DD1116"/>
    <w:rsid w:val="00DD142D"/>
    <w:rsid w:val="00DD1B2E"/>
    <w:rsid w:val="00DD1B4A"/>
    <w:rsid w:val="00DD21D0"/>
    <w:rsid w:val="00DD2252"/>
    <w:rsid w:val="00DD22C4"/>
    <w:rsid w:val="00DD2E7C"/>
    <w:rsid w:val="00DD3A49"/>
    <w:rsid w:val="00DD3D60"/>
    <w:rsid w:val="00DD4763"/>
    <w:rsid w:val="00DD4CA5"/>
    <w:rsid w:val="00DD5632"/>
    <w:rsid w:val="00DD61D4"/>
    <w:rsid w:val="00DD6284"/>
    <w:rsid w:val="00DD645A"/>
    <w:rsid w:val="00DD6564"/>
    <w:rsid w:val="00DD6F9A"/>
    <w:rsid w:val="00DD7429"/>
    <w:rsid w:val="00DD74CB"/>
    <w:rsid w:val="00DD75AC"/>
    <w:rsid w:val="00DD7A25"/>
    <w:rsid w:val="00DD7B6E"/>
    <w:rsid w:val="00DE028F"/>
    <w:rsid w:val="00DE03E4"/>
    <w:rsid w:val="00DE0724"/>
    <w:rsid w:val="00DE15E9"/>
    <w:rsid w:val="00DE19BB"/>
    <w:rsid w:val="00DE1CD7"/>
    <w:rsid w:val="00DE3640"/>
    <w:rsid w:val="00DE3A6D"/>
    <w:rsid w:val="00DE3EB0"/>
    <w:rsid w:val="00DE3FF5"/>
    <w:rsid w:val="00DE420F"/>
    <w:rsid w:val="00DE526B"/>
    <w:rsid w:val="00DE5817"/>
    <w:rsid w:val="00DE5CF7"/>
    <w:rsid w:val="00DE60AB"/>
    <w:rsid w:val="00DE637C"/>
    <w:rsid w:val="00DE6649"/>
    <w:rsid w:val="00DE69EF"/>
    <w:rsid w:val="00DE6AED"/>
    <w:rsid w:val="00DE6F03"/>
    <w:rsid w:val="00DE6F44"/>
    <w:rsid w:val="00DE7A05"/>
    <w:rsid w:val="00DF0557"/>
    <w:rsid w:val="00DF0DED"/>
    <w:rsid w:val="00DF0FE6"/>
    <w:rsid w:val="00DF10FB"/>
    <w:rsid w:val="00DF156D"/>
    <w:rsid w:val="00DF1816"/>
    <w:rsid w:val="00DF25AF"/>
    <w:rsid w:val="00DF2CE7"/>
    <w:rsid w:val="00DF377E"/>
    <w:rsid w:val="00DF3B2B"/>
    <w:rsid w:val="00DF3FAA"/>
    <w:rsid w:val="00DF409C"/>
    <w:rsid w:val="00DF4D63"/>
    <w:rsid w:val="00DF50A7"/>
    <w:rsid w:val="00DF5745"/>
    <w:rsid w:val="00DF5BE3"/>
    <w:rsid w:val="00DF6003"/>
    <w:rsid w:val="00DF6027"/>
    <w:rsid w:val="00DF61A5"/>
    <w:rsid w:val="00DF64F5"/>
    <w:rsid w:val="00DF762B"/>
    <w:rsid w:val="00DF76B0"/>
    <w:rsid w:val="00E00033"/>
    <w:rsid w:val="00E001FC"/>
    <w:rsid w:val="00E006B9"/>
    <w:rsid w:val="00E00D91"/>
    <w:rsid w:val="00E019D3"/>
    <w:rsid w:val="00E01B09"/>
    <w:rsid w:val="00E01E3A"/>
    <w:rsid w:val="00E02104"/>
    <w:rsid w:val="00E02456"/>
    <w:rsid w:val="00E025BA"/>
    <w:rsid w:val="00E02811"/>
    <w:rsid w:val="00E037E7"/>
    <w:rsid w:val="00E03AC3"/>
    <w:rsid w:val="00E04291"/>
    <w:rsid w:val="00E043F1"/>
    <w:rsid w:val="00E04885"/>
    <w:rsid w:val="00E04A30"/>
    <w:rsid w:val="00E04B5B"/>
    <w:rsid w:val="00E04BF3"/>
    <w:rsid w:val="00E05064"/>
    <w:rsid w:val="00E056B1"/>
    <w:rsid w:val="00E05939"/>
    <w:rsid w:val="00E05A0A"/>
    <w:rsid w:val="00E05ADE"/>
    <w:rsid w:val="00E05BCD"/>
    <w:rsid w:val="00E05C25"/>
    <w:rsid w:val="00E060F8"/>
    <w:rsid w:val="00E07E54"/>
    <w:rsid w:val="00E10E79"/>
    <w:rsid w:val="00E11302"/>
    <w:rsid w:val="00E11303"/>
    <w:rsid w:val="00E11379"/>
    <w:rsid w:val="00E12020"/>
    <w:rsid w:val="00E12035"/>
    <w:rsid w:val="00E13C35"/>
    <w:rsid w:val="00E13C72"/>
    <w:rsid w:val="00E13D52"/>
    <w:rsid w:val="00E13E1F"/>
    <w:rsid w:val="00E14069"/>
    <w:rsid w:val="00E14868"/>
    <w:rsid w:val="00E149B1"/>
    <w:rsid w:val="00E155FB"/>
    <w:rsid w:val="00E15814"/>
    <w:rsid w:val="00E159E3"/>
    <w:rsid w:val="00E15E64"/>
    <w:rsid w:val="00E164A0"/>
    <w:rsid w:val="00E16ACA"/>
    <w:rsid w:val="00E16BBC"/>
    <w:rsid w:val="00E16E64"/>
    <w:rsid w:val="00E171D9"/>
    <w:rsid w:val="00E173A5"/>
    <w:rsid w:val="00E17EBE"/>
    <w:rsid w:val="00E205F1"/>
    <w:rsid w:val="00E20E2E"/>
    <w:rsid w:val="00E21057"/>
    <w:rsid w:val="00E21479"/>
    <w:rsid w:val="00E21C00"/>
    <w:rsid w:val="00E21F66"/>
    <w:rsid w:val="00E22105"/>
    <w:rsid w:val="00E222FA"/>
    <w:rsid w:val="00E223BB"/>
    <w:rsid w:val="00E22786"/>
    <w:rsid w:val="00E22BBA"/>
    <w:rsid w:val="00E23FA3"/>
    <w:rsid w:val="00E23FDF"/>
    <w:rsid w:val="00E24BBE"/>
    <w:rsid w:val="00E2543A"/>
    <w:rsid w:val="00E25474"/>
    <w:rsid w:val="00E2588B"/>
    <w:rsid w:val="00E25EA2"/>
    <w:rsid w:val="00E25F5F"/>
    <w:rsid w:val="00E26079"/>
    <w:rsid w:val="00E2674A"/>
    <w:rsid w:val="00E273AE"/>
    <w:rsid w:val="00E27C90"/>
    <w:rsid w:val="00E27F07"/>
    <w:rsid w:val="00E30122"/>
    <w:rsid w:val="00E30291"/>
    <w:rsid w:val="00E31538"/>
    <w:rsid w:val="00E3188D"/>
    <w:rsid w:val="00E31A2A"/>
    <w:rsid w:val="00E32076"/>
    <w:rsid w:val="00E3217C"/>
    <w:rsid w:val="00E3223D"/>
    <w:rsid w:val="00E322D1"/>
    <w:rsid w:val="00E3242F"/>
    <w:rsid w:val="00E32D78"/>
    <w:rsid w:val="00E332D0"/>
    <w:rsid w:val="00E3377B"/>
    <w:rsid w:val="00E33A13"/>
    <w:rsid w:val="00E33C63"/>
    <w:rsid w:val="00E34305"/>
    <w:rsid w:val="00E34385"/>
    <w:rsid w:val="00E34567"/>
    <w:rsid w:val="00E34D4D"/>
    <w:rsid w:val="00E35C0B"/>
    <w:rsid w:val="00E36A8F"/>
    <w:rsid w:val="00E3742C"/>
    <w:rsid w:val="00E379D9"/>
    <w:rsid w:val="00E37DC7"/>
    <w:rsid w:val="00E409C2"/>
    <w:rsid w:val="00E40AB0"/>
    <w:rsid w:val="00E411C7"/>
    <w:rsid w:val="00E41593"/>
    <w:rsid w:val="00E415C1"/>
    <w:rsid w:val="00E41A08"/>
    <w:rsid w:val="00E42196"/>
    <w:rsid w:val="00E4267B"/>
    <w:rsid w:val="00E4377D"/>
    <w:rsid w:val="00E43A38"/>
    <w:rsid w:val="00E43B91"/>
    <w:rsid w:val="00E43FAC"/>
    <w:rsid w:val="00E4420B"/>
    <w:rsid w:val="00E44447"/>
    <w:rsid w:val="00E44689"/>
    <w:rsid w:val="00E45805"/>
    <w:rsid w:val="00E45C55"/>
    <w:rsid w:val="00E45EB2"/>
    <w:rsid w:val="00E45F0D"/>
    <w:rsid w:val="00E46476"/>
    <w:rsid w:val="00E46E67"/>
    <w:rsid w:val="00E47454"/>
    <w:rsid w:val="00E47834"/>
    <w:rsid w:val="00E479EA"/>
    <w:rsid w:val="00E47ECB"/>
    <w:rsid w:val="00E50038"/>
    <w:rsid w:val="00E50740"/>
    <w:rsid w:val="00E51389"/>
    <w:rsid w:val="00E51D21"/>
    <w:rsid w:val="00E51D3B"/>
    <w:rsid w:val="00E526CB"/>
    <w:rsid w:val="00E53247"/>
    <w:rsid w:val="00E53CD3"/>
    <w:rsid w:val="00E53F00"/>
    <w:rsid w:val="00E55473"/>
    <w:rsid w:val="00E55696"/>
    <w:rsid w:val="00E55797"/>
    <w:rsid w:val="00E55AB5"/>
    <w:rsid w:val="00E5625E"/>
    <w:rsid w:val="00E5626C"/>
    <w:rsid w:val="00E564B3"/>
    <w:rsid w:val="00E57426"/>
    <w:rsid w:val="00E57E4D"/>
    <w:rsid w:val="00E6003D"/>
    <w:rsid w:val="00E603F0"/>
    <w:rsid w:val="00E60E35"/>
    <w:rsid w:val="00E614E0"/>
    <w:rsid w:val="00E615F9"/>
    <w:rsid w:val="00E61AE7"/>
    <w:rsid w:val="00E6258A"/>
    <w:rsid w:val="00E62620"/>
    <w:rsid w:val="00E62C5C"/>
    <w:rsid w:val="00E6341D"/>
    <w:rsid w:val="00E634C4"/>
    <w:rsid w:val="00E63719"/>
    <w:rsid w:val="00E63788"/>
    <w:rsid w:val="00E63F84"/>
    <w:rsid w:val="00E649E1"/>
    <w:rsid w:val="00E64C3B"/>
    <w:rsid w:val="00E655AE"/>
    <w:rsid w:val="00E65DE4"/>
    <w:rsid w:val="00E66946"/>
    <w:rsid w:val="00E67D3C"/>
    <w:rsid w:val="00E70A3E"/>
    <w:rsid w:val="00E70BE5"/>
    <w:rsid w:val="00E70E66"/>
    <w:rsid w:val="00E712B6"/>
    <w:rsid w:val="00E73073"/>
    <w:rsid w:val="00E73817"/>
    <w:rsid w:val="00E73B28"/>
    <w:rsid w:val="00E74C75"/>
    <w:rsid w:val="00E74C78"/>
    <w:rsid w:val="00E74D08"/>
    <w:rsid w:val="00E74DDE"/>
    <w:rsid w:val="00E75571"/>
    <w:rsid w:val="00E75B6E"/>
    <w:rsid w:val="00E75BD2"/>
    <w:rsid w:val="00E76920"/>
    <w:rsid w:val="00E76B4A"/>
    <w:rsid w:val="00E76CE7"/>
    <w:rsid w:val="00E76E86"/>
    <w:rsid w:val="00E77735"/>
    <w:rsid w:val="00E77A2D"/>
    <w:rsid w:val="00E77B5E"/>
    <w:rsid w:val="00E77C31"/>
    <w:rsid w:val="00E80E27"/>
    <w:rsid w:val="00E8147B"/>
    <w:rsid w:val="00E825DB"/>
    <w:rsid w:val="00E829AC"/>
    <w:rsid w:val="00E835B2"/>
    <w:rsid w:val="00E839BA"/>
    <w:rsid w:val="00E83CD5"/>
    <w:rsid w:val="00E85D71"/>
    <w:rsid w:val="00E86108"/>
    <w:rsid w:val="00E86921"/>
    <w:rsid w:val="00E86AF1"/>
    <w:rsid w:val="00E87A33"/>
    <w:rsid w:val="00E87A98"/>
    <w:rsid w:val="00E87AE3"/>
    <w:rsid w:val="00E87E6F"/>
    <w:rsid w:val="00E90396"/>
    <w:rsid w:val="00E9067F"/>
    <w:rsid w:val="00E90A0A"/>
    <w:rsid w:val="00E90B89"/>
    <w:rsid w:val="00E91D69"/>
    <w:rsid w:val="00E91FB0"/>
    <w:rsid w:val="00E92079"/>
    <w:rsid w:val="00E92AE7"/>
    <w:rsid w:val="00E92F41"/>
    <w:rsid w:val="00E93A3C"/>
    <w:rsid w:val="00E93A84"/>
    <w:rsid w:val="00E9484E"/>
    <w:rsid w:val="00E94C71"/>
    <w:rsid w:val="00E94E59"/>
    <w:rsid w:val="00E95C94"/>
    <w:rsid w:val="00E95D46"/>
    <w:rsid w:val="00E968EA"/>
    <w:rsid w:val="00E96A55"/>
    <w:rsid w:val="00E96E4D"/>
    <w:rsid w:val="00E97EED"/>
    <w:rsid w:val="00EA009F"/>
    <w:rsid w:val="00EA0111"/>
    <w:rsid w:val="00EA02A0"/>
    <w:rsid w:val="00EA0AAB"/>
    <w:rsid w:val="00EA0E9A"/>
    <w:rsid w:val="00EA1209"/>
    <w:rsid w:val="00EA193A"/>
    <w:rsid w:val="00EA20BE"/>
    <w:rsid w:val="00EA29ED"/>
    <w:rsid w:val="00EA2D2A"/>
    <w:rsid w:val="00EA3360"/>
    <w:rsid w:val="00EA36EB"/>
    <w:rsid w:val="00EA3B17"/>
    <w:rsid w:val="00EA3F9F"/>
    <w:rsid w:val="00EA4425"/>
    <w:rsid w:val="00EA50A8"/>
    <w:rsid w:val="00EA5178"/>
    <w:rsid w:val="00EA5C20"/>
    <w:rsid w:val="00EA5F44"/>
    <w:rsid w:val="00EA64F5"/>
    <w:rsid w:val="00EA6A32"/>
    <w:rsid w:val="00EA6FB5"/>
    <w:rsid w:val="00EA7042"/>
    <w:rsid w:val="00EA710F"/>
    <w:rsid w:val="00EA72D2"/>
    <w:rsid w:val="00EA737A"/>
    <w:rsid w:val="00EA7A3B"/>
    <w:rsid w:val="00EA7CE3"/>
    <w:rsid w:val="00EA7E6F"/>
    <w:rsid w:val="00EB03F5"/>
    <w:rsid w:val="00EB0D09"/>
    <w:rsid w:val="00EB160B"/>
    <w:rsid w:val="00EB21A7"/>
    <w:rsid w:val="00EB224A"/>
    <w:rsid w:val="00EB2556"/>
    <w:rsid w:val="00EB2589"/>
    <w:rsid w:val="00EB2B15"/>
    <w:rsid w:val="00EB2D43"/>
    <w:rsid w:val="00EB37E3"/>
    <w:rsid w:val="00EB3912"/>
    <w:rsid w:val="00EB3D66"/>
    <w:rsid w:val="00EB457D"/>
    <w:rsid w:val="00EB48EE"/>
    <w:rsid w:val="00EB514D"/>
    <w:rsid w:val="00EB55A8"/>
    <w:rsid w:val="00EB5718"/>
    <w:rsid w:val="00EB5D8C"/>
    <w:rsid w:val="00EB5F35"/>
    <w:rsid w:val="00EB604A"/>
    <w:rsid w:val="00EB6677"/>
    <w:rsid w:val="00EB6AEB"/>
    <w:rsid w:val="00EB6B3E"/>
    <w:rsid w:val="00EB6E77"/>
    <w:rsid w:val="00EB7523"/>
    <w:rsid w:val="00EB773D"/>
    <w:rsid w:val="00EB779D"/>
    <w:rsid w:val="00EB7B27"/>
    <w:rsid w:val="00EB7B6E"/>
    <w:rsid w:val="00EC02C1"/>
    <w:rsid w:val="00EC14A8"/>
    <w:rsid w:val="00EC2E5C"/>
    <w:rsid w:val="00EC33F4"/>
    <w:rsid w:val="00EC3A78"/>
    <w:rsid w:val="00EC3DEC"/>
    <w:rsid w:val="00EC40F2"/>
    <w:rsid w:val="00EC4C85"/>
    <w:rsid w:val="00EC53B1"/>
    <w:rsid w:val="00EC5630"/>
    <w:rsid w:val="00EC5893"/>
    <w:rsid w:val="00EC5C1D"/>
    <w:rsid w:val="00EC6FAA"/>
    <w:rsid w:val="00ED0019"/>
    <w:rsid w:val="00ED036C"/>
    <w:rsid w:val="00ED050F"/>
    <w:rsid w:val="00ED0FF9"/>
    <w:rsid w:val="00ED14E1"/>
    <w:rsid w:val="00ED1643"/>
    <w:rsid w:val="00ED199E"/>
    <w:rsid w:val="00ED1A42"/>
    <w:rsid w:val="00ED1D4A"/>
    <w:rsid w:val="00ED23FC"/>
    <w:rsid w:val="00ED2424"/>
    <w:rsid w:val="00ED25B6"/>
    <w:rsid w:val="00ED30E7"/>
    <w:rsid w:val="00ED3188"/>
    <w:rsid w:val="00ED34F1"/>
    <w:rsid w:val="00ED3759"/>
    <w:rsid w:val="00ED38E3"/>
    <w:rsid w:val="00ED3AC4"/>
    <w:rsid w:val="00ED4013"/>
    <w:rsid w:val="00ED4039"/>
    <w:rsid w:val="00ED4192"/>
    <w:rsid w:val="00ED43D2"/>
    <w:rsid w:val="00ED4768"/>
    <w:rsid w:val="00ED4918"/>
    <w:rsid w:val="00ED4B69"/>
    <w:rsid w:val="00ED4C57"/>
    <w:rsid w:val="00ED4D7F"/>
    <w:rsid w:val="00ED4F54"/>
    <w:rsid w:val="00ED50C6"/>
    <w:rsid w:val="00ED5AF8"/>
    <w:rsid w:val="00ED6855"/>
    <w:rsid w:val="00ED714C"/>
    <w:rsid w:val="00ED750D"/>
    <w:rsid w:val="00ED7848"/>
    <w:rsid w:val="00EE09B9"/>
    <w:rsid w:val="00EE0DFC"/>
    <w:rsid w:val="00EE0ED4"/>
    <w:rsid w:val="00EE0EEE"/>
    <w:rsid w:val="00EE0F0A"/>
    <w:rsid w:val="00EE1BF4"/>
    <w:rsid w:val="00EE209C"/>
    <w:rsid w:val="00EE20E6"/>
    <w:rsid w:val="00EE223D"/>
    <w:rsid w:val="00EE2896"/>
    <w:rsid w:val="00EE2CD1"/>
    <w:rsid w:val="00EE3558"/>
    <w:rsid w:val="00EE3A32"/>
    <w:rsid w:val="00EE4361"/>
    <w:rsid w:val="00EE47C5"/>
    <w:rsid w:val="00EE4BEB"/>
    <w:rsid w:val="00EE4CEE"/>
    <w:rsid w:val="00EE4F97"/>
    <w:rsid w:val="00EE54CF"/>
    <w:rsid w:val="00EE5A8F"/>
    <w:rsid w:val="00EE679F"/>
    <w:rsid w:val="00EE7C39"/>
    <w:rsid w:val="00EF02F1"/>
    <w:rsid w:val="00EF08B4"/>
    <w:rsid w:val="00EF09F0"/>
    <w:rsid w:val="00EF0C72"/>
    <w:rsid w:val="00EF11F8"/>
    <w:rsid w:val="00EF1220"/>
    <w:rsid w:val="00EF148A"/>
    <w:rsid w:val="00EF155A"/>
    <w:rsid w:val="00EF174B"/>
    <w:rsid w:val="00EF1788"/>
    <w:rsid w:val="00EF1A25"/>
    <w:rsid w:val="00EF20FB"/>
    <w:rsid w:val="00EF2129"/>
    <w:rsid w:val="00EF24FE"/>
    <w:rsid w:val="00EF2B6A"/>
    <w:rsid w:val="00EF2C5E"/>
    <w:rsid w:val="00EF2CD6"/>
    <w:rsid w:val="00EF3563"/>
    <w:rsid w:val="00EF362A"/>
    <w:rsid w:val="00EF3700"/>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738"/>
    <w:rsid w:val="00F00D7E"/>
    <w:rsid w:val="00F01224"/>
    <w:rsid w:val="00F0171B"/>
    <w:rsid w:val="00F01BFF"/>
    <w:rsid w:val="00F02313"/>
    <w:rsid w:val="00F03912"/>
    <w:rsid w:val="00F03D33"/>
    <w:rsid w:val="00F03EFB"/>
    <w:rsid w:val="00F03F69"/>
    <w:rsid w:val="00F04325"/>
    <w:rsid w:val="00F046B3"/>
    <w:rsid w:val="00F0474C"/>
    <w:rsid w:val="00F0600E"/>
    <w:rsid w:val="00F06079"/>
    <w:rsid w:val="00F06AE8"/>
    <w:rsid w:val="00F06E8F"/>
    <w:rsid w:val="00F077AE"/>
    <w:rsid w:val="00F10127"/>
    <w:rsid w:val="00F103CA"/>
    <w:rsid w:val="00F104CF"/>
    <w:rsid w:val="00F104DD"/>
    <w:rsid w:val="00F107AA"/>
    <w:rsid w:val="00F1089E"/>
    <w:rsid w:val="00F11327"/>
    <w:rsid w:val="00F116C8"/>
    <w:rsid w:val="00F11912"/>
    <w:rsid w:val="00F11932"/>
    <w:rsid w:val="00F11AA5"/>
    <w:rsid w:val="00F11D73"/>
    <w:rsid w:val="00F11F90"/>
    <w:rsid w:val="00F12568"/>
    <w:rsid w:val="00F127BD"/>
    <w:rsid w:val="00F12986"/>
    <w:rsid w:val="00F13015"/>
    <w:rsid w:val="00F1499E"/>
    <w:rsid w:val="00F149E7"/>
    <w:rsid w:val="00F154D8"/>
    <w:rsid w:val="00F15692"/>
    <w:rsid w:val="00F156EF"/>
    <w:rsid w:val="00F15A59"/>
    <w:rsid w:val="00F161A1"/>
    <w:rsid w:val="00F16710"/>
    <w:rsid w:val="00F16A40"/>
    <w:rsid w:val="00F1756C"/>
    <w:rsid w:val="00F17673"/>
    <w:rsid w:val="00F17920"/>
    <w:rsid w:val="00F17EF0"/>
    <w:rsid w:val="00F201CA"/>
    <w:rsid w:val="00F2039E"/>
    <w:rsid w:val="00F20500"/>
    <w:rsid w:val="00F208DC"/>
    <w:rsid w:val="00F21261"/>
    <w:rsid w:val="00F21525"/>
    <w:rsid w:val="00F21811"/>
    <w:rsid w:val="00F223DB"/>
    <w:rsid w:val="00F22467"/>
    <w:rsid w:val="00F22572"/>
    <w:rsid w:val="00F22792"/>
    <w:rsid w:val="00F22BEA"/>
    <w:rsid w:val="00F22CC6"/>
    <w:rsid w:val="00F22D7B"/>
    <w:rsid w:val="00F23373"/>
    <w:rsid w:val="00F23841"/>
    <w:rsid w:val="00F239D9"/>
    <w:rsid w:val="00F245FC"/>
    <w:rsid w:val="00F25149"/>
    <w:rsid w:val="00F25413"/>
    <w:rsid w:val="00F2546A"/>
    <w:rsid w:val="00F2554A"/>
    <w:rsid w:val="00F25C1B"/>
    <w:rsid w:val="00F26B91"/>
    <w:rsid w:val="00F2715E"/>
    <w:rsid w:val="00F27A7F"/>
    <w:rsid w:val="00F30627"/>
    <w:rsid w:val="00F306FA"/>
    <w:rsid w:val="00F30B0A"/>
    <w:rsid w:val="00F30F67"/>
    <w:rsid w:val="00F32136"/>
    <w:rsid w:val="00F32434"/>
    <w:rsid w:val="00F3277B"/>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2055"/>
    <w:rsid w:val="00F45045"/>
    <w:rsid w:val="00F4548C"/>
    <w:rsid w:val="00F4565D"/>
    <w:rsid w:val="00F45FC9"/>
    <w:rsid w:val="00F46E50"/>
    <w:rsid w:val="00F50154"/>
    <w:rsid w:val="00F502DD"/>
    <w:rsid w:val="00F50A31"/>
    <w:rsid w:val="00F50FD1"/>
    <w:rsid w:val="00F51672"/>
    <w:rsid w:val="00F51878"/>
    <w:rsid w:val="00F51DEE"/>
    <w:rsid w:val="00F51E89"/>
    <w:rsid w:val="00F51FA8"/>
    <w:rsid w:val="00F5221E"/>
    <w:rsid w:val="00F52366"/>
    <w:rsid w:val="00F52700"/>
    <w:rsid w:val="00F527A6"/>
    <w:rsid w:val="00F529C6"/>
    <w:rsid w:val="00F52D0A"/>
    <w:rsid w:val="00F52E6D"/>
    <w:rsid w:val="00F5332D"/>
    <w:rsid w:val="00F533C9"/>
    <w:rsid w:val="00F53413"/>
    <w:rsid w:val="00F537B4"/>
    <w:rsid w:val="00F54B42"/>
    <w:rsid w:val="00F55315"/>
    <w:rsid w:val="00F55584"/>
    <w:rsid w:val="00F55D11"/>
    <w:rsid w:val="00F55DCF"/>
    <w:rsid w:val="00F561BD"/>
    <w:rsid w:val="00F56337"/>
    <w:rsid w:val="00F5685E"/>
    <w:rsid w:val="00F56FB7"/>
    <w:rsid w:val="00F57538"/>
    <w:rsid w:val="00F57C1B"/>
    <w:rsid w:val="00F6000C"/>
    <w:rsid w:val="00F600BB"/>
    <w:rsid w:val="00F6076F"/>
    <w:rsid w:val="00F60B17"/>
    <w:rsid w:val="00F616C9"/>
    <w:rsid w:val="00F61828"/>
    <w:rsid w:val="00F61A8C"/>
    <w:rsid w:val="00F61C07"/>
    <w:rsid w:val="00F620CA"/>
    <w:rsid w:val="00F625A6"/>
    <w:rsid w:val="00F627AE"/>
    <w:rsid w:val="00F6312C"/>
    <w:rsid w:val="00F63671"/>
    <w:rsid w:val="00F63B2C"/>
    <w:rsid w:val="00F645F9"/>
    <w:rsid w:val="00F64D62"/>
    <w:rsid w:val="00F656E6"/>
    <w:rsid w:val="00F65962"/>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3246"/>
    <w:rsid w:val="00F7338A"/>
    <w:rsid w:val="00F747EF"/>
    <w:rsid w:val="00F74B27"/>
    <w:rsid w:val="00F7532B"/>
    <w:rsid w:val="00F75C24"/>
    <w:rsid w:val="00F7632E"/>
    <w:rsid w:val="00F764EB"/>
    <w:rsid w:val="00F769A6"/>
    <w:rsid w:val="00F76B0D"/>
    <w:rsid w:val="00F77266"/>
    <w:rsid w:val="00F776CA"/>
    <w:rsid w:val="00F77796"/>
    <w:rsid w:val="00F77A2E"/>
    <w:rsid w:val="00F80BFF"/>
    <w:rsid w:val="00F8144F"/>
    <w:rsid w:val="00F818F2"/>
    <w:rsid w:val="00F81CB5"/>
    <w:rsid w:val="00F81D9B"/>
    <w:rsid w:val="00F82710"/>
    <w:rsid w:val="00F82743"/>
    <w:rsid w:val="00F83580"/>
    <w:rsid w:val="00F840FD"/>
    <w:rsid w:val="00F84208"/>
    <w:rsid w:val="00F84452"/>
    <w:rsid w:val="00F845D2"/>
    <w:rsid w:val="00F84A36"/>
    <w:rsid w:val="00F84B95"/>
    <w:rsid w:val="00F84D31"/>
    <w:rsid w:val="00F85119"/>
    <w:rsid w:val="00F86285"/>
    <w:rsid w:val="00F86308"/>
    <w:rsid w:val="00F869AD"/>
    <w:rsid w:val="00F872A7"/>
    <w:rsid w:val="00F874FD"/>
    <w:rsid w:val="00F8752C"/>
    <w:rsid w:val="00F878E9"/>
    <w:rsid w:val="00F87933"/>
    <w:rsid w:val="00F87E12"/>
    <w:rsid w:val="00F87F79"/>
    <w:rsid w:val="00F903F2"/>
    <w:rsid w:val="00F90C10"/>
    <w:rsid w:val="00F90C14"/>
    <w:rsid w:val="00F91680"/>
    <w:rsid w:val="00F91B14"/>
    <w:rsid w:val="00F91B99"/>
    <w:rsid w:val="00F91C45"/>
    <w:rsid w:val="00F924E3"/>
    <w:rsid w:val="00F92A02"/>
    <w:rsid w:val="00F92E99"/>
    <w:rsid w:val="00F934B9"/>
    <w:rsid w:val="00F94403"/>
    <w:rsid w:val="00F94606"/>
    <w:rsid w:val="00F94ADD"/>
    <w:rsid w:val="00F94D08"/>
    <w:rsid w:val="00F95285"/>
    <w:rsid w:val="00F95A4A"/>
    <w:rsid w:val="00F969BE"/>
    <w:rsid w:val="00F97D2D"/>
    <w:rsid w:val="00FA01D4"/>
    <w:rsid w:val="00FA2D49"/>
    <w:rsid w:val="00FA2DE1"/>
    <w:rsid w:val="00FA2E4F"/>
    <w:rsid w:val="00FA30BD"/>
    <w:rsid w:val="00FA31B8"/>
    <w:rsid w:val="00FA3757"/>
    <w:rsid w:val="00FA3DC9"/>
    <w:rsid w:val="00FA3FA2"/>
    <w:rsid w:val="00FA461F"/>
    <w:rsid w:val="00FA47B6"/>
    <w:rsid w:val="00FA4978"/>
    <w:rsid w:val="00FA4E02"/>
    <w:rsid w:val="00FA50C7"/>
    <w:rsid w:val="00FA5145"/>
    <w:rsid w:val="00FA54BE"/>
    <w:rsid w:val="00FA5952"/>
    <w:rsid w:val="00FA5CC3"/>
    <w:rsid w:val="00FA5D72"/>
    <w:rsid w:val="00FA5DDA"/>
    <w:rsid w:val="00FA5E3D"/>
    <w:rsid w:val="00FA5F22"/>
    <w:rsid w:val="00FA5FCA"/>
    <w:rsid w:val="00FA66E6"/>
    <w:rsid w:val="00FA68C7"/>
    <w:rsid w:val="00FA7D5B"/>
    <w:rsid w:val="00FA7E06"/>
    <w:rsid w:val="00FB13A6"/>
    <w:rsid w:val="00FB239E"/>
    <w:rsid w:val="00FB2550"/>
    <w:rsid w:val="00FB2C3F"/>
    <w:rsid w:val="00FB31AE"/>
    <w:rsid w:val="00FB3EB5"/>
    <w:rsid w:val="00FB403A"/>
    <w:rsid w:val="00FB44D4"/>
    <w:rsid w:val="00FB4678"/>
    <w:rsid w:val="00FB50F9"/>
    <w:rsid w:val="00FB550F"/>
    <w:rsid w:val="00FB5769"/>
    <w:rsid w:val="00FB59E5"/>
    <w:rsid w:val="00FB5C3B"/>
    <w:rsid w:val="00FB7021"/>
    <w:rsid w:val="00FB73E3"/>
    <w:rsid w:val="00FB75DE"/>
    <w:rsid w:val="00FB7CD3"/>
    <w:rsid w:val="00FB7D15"/>
    <w:rsid w:val="00FC09B6"/>
    <w:rsid w:val="00FC0C24"/>
    <w:rsid w:val="00FC0D89"/>
    <w:rsid w:val="00FC1017"/>
    <w:rsid w:val="00FC10B5"/>
    <w:rsid w:val="00FC120F"/>
    <w:rsid w:val="00FC12E2"/>
    <w:rsid w:val="00FC14BB"/>
    <w:rsid w:val="00FC21C1"/>
    <w:rsid w:val="00FC3149"/>
    <w:rsid w:val="00FC33D5"/>
    <w:rsid w:val="00FC3668"/>
    <w:rsid w:val="00FC3A8D"/>
    <w:rsid w:val="00FC42B0"/>
    <w:rsid w:val="00FC446D"/>
    <w:rsid w:val="00FC51EC"/>
    <w:rsid w:val="00FC52F6"/>
    <w:rsid w:val="00FC56E6"/>
    <w:rsid w:val="00FC5D23"/>
    <w:rsid w:val="00FC5D38"/>
    <w:rsid w:val="00FC5F48"/>
    <w:rsid w:val="00FC6190"/>
    <w:rsid w:val="00FC6677"/>
    <w:rsid w:val="00FC7A2D"/>
    <w:rsid w:val="00FC7EDA"/>
    <w:rsid w:val="00FD0003"/>
    <w:rsid w:val="00FD0318"/>
    <w:rsid w:val="00FD07F1"/>
    <w:rsid w:val="00FD0C7A"/>
    <w:rsid w:val="00FD0C85"/>
    <w:rsid w:val="00FD0FAE"/>
    <w:rsid w:val="00FD1F58"/>
    <w:rsid w:val="00FD229E"/>
    <w:rsid w:val="00FD29FA"/>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D7553"/>
    <w:rsid w:val="00FD7E71"/>
    <w:rsid w:val="00FE1690"/>
    <w:rsid w:val="00FE1F2E"/>
    <w:rsid w:val="00FE20DC"/>
    <w:rsid w:val="00FE24A3"/>
    <w:rsid w:val="00FE3175"/>
    <w:rsid w:val="00FE3258"/>
    <w:rsid w:val="00FE356D"/>
    <w:rsid w:val="00FE374C"/>
    <w:rsid w:val="00FE3909"/>
    <w:rsid w:val="00FE3959"/>
    <w:rsid w:val="00FE3C3C"/>
    <w:rsid w:val="00FE3E3F"/>
    <w:rsid w:val="00FE3F87"/>
    <w:rsid w:val="00FE492B"/>
    <w:rsid w:val="00FE4B37"/>
    <w:rsid w:val="00FE4B51"/>
    <w:rsid w:val="00FE51AB"/>
    <w:rsid w:val="00FE573D"/>
    <w:rsid w:val="00FE5FCE"/>
    <w:rsid w:val="00FE5FFC"/>
    <w:rsid w:val="00FE602C"/>
    <w:rsid w:val="00FE6790"/>
    <w:rsid w:val="00FE6A73"/>
    <w:rsid w:val="00FE6C92"/>
    <w:rsid w:val="00FE76C4"/>
    <w:rsid w:val="00FE78A0"/>
    <w:rsid w:val="00FE7D4A"/>
    <w:rsid w:val="00FF040F"/>
    <w:rsid w:val="00FF09F3"/>
    <w:rsid w:val="00FF0A42"/>
    <w:rsid w:val="00FF16F8"/>
    <w:rsid w:val="00FF193F"/>
    <w:rsid w:val="00FF1FC0"/>
    <w:rsid w:val="00FF2710"/>
    <w:rsid w:val="00FF39F0"/>
    <w:rsid w:val="00FF3DE5"/>
    <w:rsid w:val="00FF444C"/>
    <w:rsid w:val="00FF47EF"/>
    <w:rsid w:val="00FF4BFA"/>
    <w:rsid w:val="00FF53A3"/>
    <w:rsid w:val="00FF561C"/>
    <w:rsid w:val="00FF610C"/>
    <w:rsid w:val="00FF62B6"/>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A54"/>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CA6A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6A54"/>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qFormat/>
    <w:locked/>
    <w:rsid w:val="00F03D33"/>
    <w:rPr>
      <w:rFonts w:asciiTheme="minorHAnsi" w:eastAsiaTheme="minorEastAsia" w:hAnsiTheme="minorHAnsi" w:cstheme="minorBidi"/>
      <w:sz w:val="22"/>
      <w:szCs w:val="22"/>
    </w:rPr>
  </w:style>
  <w:style w:type="paragraph" w:customStyle="1" w:styleId="paragraph">
    <w:name w:val="paragraph"/>
    <w:basedOn w:val="Normal"/>
    <w:rsid w:val="008023EE"/>
    <w:pPr>
      <w:widowControl/>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DefaultParagraphFont"/>
    <w:rsid w:val="008023EE"/>
  </w:style>
  <w:style w:type="character" w:customStyle="1" w:styleId="eop">
    <w:name w:val="eop"/>
    <w:basedOn w:val="DefaultParagraphFont"/>
    <w:rsid w:val="008023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921">
      <w:bodyDiv w:val="1"/>
      <w:marLeft w:val="0"/>
      <w:marRight w:val="0"/>
      <w:marTop w:val="0"/>
      <w:marBottom w:val="0"/>
      <w:divBdr>
        <w:top w:val="none" w:sz="0" w:space="0" w:color="auto"/>
        <w:left w:val="none" w:sz="0" w:space="0" w:color="auto"/>
        <w:bottom w:val="none" w:sz="0" w:space="0" w:color="auto"/>
        <w:right w:val="none" w:sz="0" w:space="0" w:color="auto"/>
      </w:divBdr>
      <w:divsChild>
        <w:div w:id="2022731693">
          <w:marLeft w:val="547"/>
          <w:marRight w:val="0"/>
          <w:marTop w:val="154"/>
          <w:marBottom w:val="0"/>
          <w:divBdr>
            <w:top w:val="none" w:sz="0" w:space="0" w:color="auto"/>
            <w:left w:val="none" w:sz="0" w:space="0" w:color="auto"/>
            <w:bottom w:val="none" w:sz="0" w:space="0" w:color="auto"/>
            <w:right w:val="none" w:sz="0" w:space="0" w:color="auto"/>
          </w:divBdr>
        </w:div>
        <w:div w:id="98915946">
          <w:marLeft w:val="547"/>
          <w:marRight w:val="0"/>
          <w:marTop w:val="154"/>
          <w:marBottom w:val="0"/>
          <w:divBdr>
            <w:top w:val="none" w:sz="0" w:space="0" w:color="auto"/>
            <w:left w:val="none" w:sz="0" w:space="0" w:color="auto"/>
            <w:bottom w:val="none" w:sz="0" w:space="0" w:color="auto"/>
            <w:right w:val="none" w:sz="0" w:space="0" w:color="auto"/>
          </w:divBdr>
        </w:div>
        <w:div w:id="572659674">
          <w:marLeft w:val="547"/>
          <w:marRight w:val="0"/>
          <w:marTop w:val="154"/>
          <w:marBottom w:val="0"/>
          <w:divBdr>
            <w:top w:val="none" w:sz="0" w:space="0" w:color="auto"/>
            <w:left w:val="none" w:sz="0" w:space="0" w:color="auto"/>
            <w:bottom w:val="none" w:sz="0" w:space="0" w:color="auto"/>
            <w:right w:val="none" w:sz="0" w:space="0" w:color="auto"/>
          </w:divBdr>
        </w:div>
        <w:div w:id="961764168">
          <w:marLeft w:val="547"/>
          <w:marRight w:val="0"/>
          <w:marTop w:val="154"/>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12136623">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4132835">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274143480">
      <w:bodyDiv w:val="1"/>
      <w:marLeft w:val="0"/>
      <w:marRight w:val="0"/>
      <w:marTop w:val="0"/>
      <w:marBottom w:val="0"/>
      <w:divBdr>
        <w:top w:val="none" w:sz="0" w:space="0" w:color="auto"/>
        <w:left w:val="none" w:sz="0" w:space="0" w:color="auto"/>
        <w:bottom w:val="none" w:sz="0" w:space="0" w:color="auto"/>
        <w:right w:val="none" w:sz="0" w:space="0" w:color="auto"/>
      </w:divBdr>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76534682">
      <w:bodyDiv w:val="1"/>
      <w:marLeft w:val="0"/>
      <w:marRight w:val="0"/>
      <w:marTop w:val="0"/>
      <w:marBottom w:val="0"/>
      <w:divBdr>
        <w:top w:val="none" w:sz="0" w:space="0" w:color="auto"/>
        <w:left w:val="none" w:sz="0" w:space="0" w:color="auto"/>
        <w:bottom w:val="none" w:sz="0" w:space="0" w:color="auto"/>
        <w:right w:val="none" w:sz="0" w:space="0" w:color="auto"/>
      </w:divBdr>
    </w:div>
    <w:div w:id="526219208">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63490206">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57279151">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2196496">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4979283">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6148606">
      <w:bodyDiv w:val="1"/>
      <w:marLeft w:val="0"/>
      <w:marRight w:val="0"/>
      <w:marTop w:val="0"/>
      <w:marBottom w:val="0"/>
      <w:divBdr>
        <w:top w:val="none" w:sz="0" w:space="0" w:color="auto"/>
        <w:left w:val="none" w:sz="0" w:space="0" w:color="auto"/>
        <w:bottom w:val="none" w:sz="0" w:space="0" w:color="auto"/>
        <w:right w:val="none" w:sz="0" w:space="0" w:color="auto"/>
      </w:divBdr>
      <w:divsChild>
        <w:div w:id="2119641546">
          <w:marLeft w:val="547"/>
          <w:marRight w:val="0"/>
          <w:marTop w:val="134"/>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00039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4584355">
      <w:bodyDiv w:val="1"/>
      <w:marLeft w:val="0"/>
      <w:marRight w:val="0"/>
      <w:marTop w:val="0"/>
      <w:marBottom w:val="0"/>
      <w:divBdr>
        <w:top w:val="none" w:sz="0" w:space="0" w:color="auto"/>
        <w:left w:val="none" w:sz="0" w:space="0" w:color="auto"/>
        <w:bottom w:val="none" w:sz="0" w:space="0" w:color="auto"/>
        <w:right w:val="none" w:sz="0" w:space="0" w:color="auto"/>
      </w:divBdr>
      <w:divsChild>
        <w:div w:id="1977490496">
          <w:marLeft w:val="547"/>
          <w:marRight w:val="0"/>
          <w:marTop w:val="154"/>
          <w:marBottom w:val="0"/>
          <w:divBdr>
            <w:top w:val="none" w:sz="0" w:space="0" w:color="auto"/>
            <w:left w:val="none" w:sz="0" w:space="0" w:color="auto"/>
            <w:bottom w:val="none" w:sz="0" w:space="0" w:color="auto"/>
            <w:right w:val="none" w:sz="0" w:space="0" w:color="auto"/>
          </w:divBdr>
        </w:div>
      </w:divsChild>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3955440">
      <w:bodyDiv w:val="1"/>
      <w:marLeft w:val="0"/>
      <w:marRight w:val="0"/>
      <w:marTop w:val="0"/>
      <w:marBottom w:val="0"/>
      <w:divBdr>
        <w:top w:val="none" w:sz="0" w:space="0" w:color="auto"/>
        <w:left w:val="none" w:sz="0" w:space="0" w:color="auto"/>
        <w:bottom w:val="none" w:sz="0" w:space="0" w:color="auto"/>
        <w:right w:val="none" w:sz="0" w:space="0" w:color="auto"/>
      </w:divBdr>
      <w:divsChild>
        <w:div w:id="1437218055">
          <w:marLeft w:val="1800"/>
          <w:marRight w:val="0"/>
          <w:marTop w:val="96"/>
          <w:marBottom w:val="0"/>
          <w:divBdr>
            <w:top w:val="none" w:sz="0" w:space="0" w:color="auto"/>
            <w:left w:val="none" w:sz="0" w:space="0" w:color="auto"/>
            <w:bottom w:val="none" w:sz="0" w:space="0" w:color="auto"/>
            <w:right w:val="none" w:sz="0" w:space="0" w:color="auto"/>
          </w:divBdr>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856673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1209501">
      <w:bodyDiv w:val="1"/>
      <w:marLeft w:val="0"/>
      <w:marRight w:val="0"/>
      <w:marTop w:val="0"/>
      <w:marBottom w:val="0"/>
      <w:divBdr>
        <w:top w:val="none" w:sz="0" w:space="0" w:color="auto"/>
        <w:left w:val="none" w:sz="0" w:space="0" w:color="auto"/>
        <w:bottom w:val="none" w:sz="0" w:space="0" w:color="auto"/>
        <w:right w:val="none" w:sz="0" w:space="0" w:color="auto"/>
      </w:divBdr>
      <w:divsChild>
        <w:div w:id="738091154">
          <w:marLeft w:val="0"/>
          <w:marRight w:val="0"/>
          <w:marTop w:val="0"/>
          <w:marBottom w:val="0"/>
          <w:divBdr>
            <w:top w:val="none" w:sz="0" w:space="0" w:color="auto"/>
            <w:left w:val="none" w:sz="0" w:space="0" w:color="auto"/>
            <w:bottom w:val="none" w:sz="0" w:space="0" w:color="auto"/>
            <w:right w:val="none" w:sz="0" w:space="0" w:color="auto"/>
          </w:divBdr>
          <w:divsChild>
            <w:div w:id="18238484">
              <w:marLeft w:val="0"/>
              <w:marRight w:val="0"/>
              <w:marTop w:val="30"/>
              <w:marBottom w:val="30"/>
              <w:divBdr>
                <w:top w:val="none" w:sz="0" w:space="0" w:color="auto"/>
                <w:left w:val="none" w:sz="0" w:space="0" w:color="auto"/>
                <w:bottom w:val="none" w:sz="0" w:space="0" w:color="auto"/>
                <w:right w:val="none" w:sz="0" w:space="0" w:color="auto"/>
              </w:divBdr>
              <w:divsChild>
                <w:div w:id="2040813492">
                  <w:marLeft w:val="0"/>
                  <w:marRight w:val="0"/>
                  <w:marTop w:val="0"/>
                  <w:marBottom w:val="0"/>
                  <w:divBdr>
                    <w:top w:val="none" w:sz="0" w:space="0" w:color="auto"/>
                    <w:left w:val="none" w:sz="0" w:space="0" w:color="auto"/>
                    <w:bottom w:val="none" w:sz="0" w:space="0" w:color="auto"/>
                    <w:right w:val="none" w:sz="0" w:space="0" w:color="auto"/>
                  </w:divBdr>
                  <w:divsChild>
                    <w:div w:id="16154519">
                      <w:marLeft w:val="0"/>
                      <w:marRight w:val="0"/>
                      <w:marTop w:val="0"/>
                      <w:marBottom w:val="0"/>
                      <w:divBdr>
                        <w:top w:val="none" w:sz="0" w:space="0" w:color="auto"/>
                        <w:left w:val="none" w:sz="0" w:space="0" w:color="auto"/>
                        <w:bottom w:val="none" w:sz="0" w:space="0" w:color="auto"/>
                        <w:right w:val="none" w:sz="0" w:space="0" w:color="auto"/>
                      </w:divBdr>
                    </w:div>
                  </w:divsChild>
                </w:div>
                <w:div w:id="160776428">
                  <w:marLeft w:val="0"/>
                  <w:marRight w:val="0"/>
                  <w:marTop w:val="0"/>
                  <w:marBottom w:val="0"/>
                  <w:divBdr>
                    <w:top w:val="none" w:sz="0" w:space="0" w:color="auto"/>
                    <w:left w:val="none" w:sz="0" w:space="0" w:color="auto"/>
                    <w:bottom w:val="none" w:sz="0" w:space="0" w:color="auto"/>
                    <w:right w:val="none" w:sz="0" w:space="0" w:color="auto"/>
                  </w:divBdr>
                  <w:divsChild>
                    <w:div w:id="1184242106">
                      <w:marLeft w:val="0"/>
                      <w:marRight w:val="0"/>
                      <w:marTop w:val="0"/>
                      <w:marBottom w:val="0"/>
                      <w:divBdr>
                        <w:top w:val="none" w:sz="0" w:space="0" w:color="auto"/>
                        <w:left w:val="none" w:sz="0" w:space="0" w:color="auto"/>
                        <w:bottom w:val="none" w:sz="0" w:space="0" w:color="auto"/>
                        <w:right w:val="none" w:sz="0" w:space="0" w:color="auto"/>
                      </w:divBdr>
                    </w:div>
                  </w:divsChild>
                </w:div>
                <w:div w:id="1369835097">
                  <w:marLeft w:val="0"/>
                  <w:marRight w:val="0"/>
                  <w:marTop w:val="0"/>
                  <w:marBottom w:val="0"/>
                  <w:divBdr>
                    <w:top w:val="none" w:sz="0" w:space="0" w:color="auto"/>
                    <w:left w:val="none" w:sz="0" w:space="0" w:color="auto"/>
                    <w:bottom w:val="none" w:sz="0" w:space="0" w:color="auto"/>
                    <w:right w:val="none" w:sz="0" w:space="0" w:color="auto"/>
                  </w:divBdr>
                  <w:divsChild>
                    <w:div w:id="906570707">
                      <w:marLeft w:val="0"/>
                      <w:marRight w:val="0"/>
                      <w:marTop w:val="0"/>
                      <w:marBottom w:val="0"/>
                      <w:divBdr>
                        <w:top w:val="none" w:sz="0" w:space="0" w:color="auto"/>
                        <w:left w:val="none" w:sz="0" w:space="0" w:color="auto"/>
                        <w:bottom w:val="none" w:sz="0" w:space="0" w:color="auto"/>
                        <w:right w:val="none" w:sz="0" w:space="0" w:color="auto"/>
                      </w:divBdr>
                    </w:div>
                  </w:divsChild>
                </w:div>
                <w:div w:id="655885071">
                  <w:marLeft w:val="0"/>
                  <w:marRight w:val="0"/>
                  <w:marTop w:val="0"/>
                  <w:marBottom w:val="0"/>
                  <w:divBdr>
                    <w:top w:val="none" w:sz="0" w:space="0" w:color="auto"/>
                    <w:left w:val="none" w:sz="0" w:space="0" w:color="auto"/>
                    <w:bottom w:val="none" w:sz="0" w:space="0" w:color="auto"/>
                    <w:right w:val="none" w:sz="0" w:space="0" w:color="auto"/>
                  </w:divBdr>
                  <w:divsChild>
                    <w:div w:id="147484974">
                      <w:marLeft w:val="0"/>
                      <w:marRight w:val="0"/>
                      <w:marTop w:val="0"/>
                      <w:marBottom w:val="0"/>
                      <w:divBdr>
                        <w:top w:val="none" w:sz="0" w:space="0" w:color="auto"/>
                        <w:left w:val="none" w:sz="0" w:space="0" w:color="auto"/>
                        <w:bottom w:val="none" w:sz="0" w:space="0" w:color="auto"/>
                        <w:right w:val="none" w:sz="0" w:space="0" w:color="auto"/>
                      </w:divBdr>
                    </w:div>
                  </w:divsChild>
                </w:div>
                <w:div w:id="882449668">
                  <w:marLeft w:val="0"/>
                  <w:marRight w:val="0"/>
                  <w:marTop w:val="0"/>
                  <w:marBottom w:val="0"/>
                  <w:divBdr>
                    <w:top w:val="none" w:sz="0" w:space="0" w:color="auto"/>
                    <w:left w:val="none" w:sz="0" w:space="0" w:color="auto"/>
                    <w:bottom w:val="none" w:sz="0" w:space="0" w:color="auto"/>
                    <w:right w:val="none" w:sz="0" w:space="0" w:color="auto"/>
                  </w:divBdr>
                  <w:divsChild>
                    <w:div w:id="1612081551">
                      <w:marLeft w:val="0"/>
                      <w:marRight w:val="0"/>
                      <w:marTop w:val="0"/>
                      <w:marBottom w:val="0"/>
                      <w:divBdr>
                        <w:top w:val="none" w:sz="0" w:space="0" w:color="auto"/>
                        <w:left w:val="none" w:sz="0" w:space="0" w:color="auto"/>
                        <w:bottom w:val="none" w:sz="0" w:space="0" w:color="auto"/>
                        <w:right w:val="none" w:sz="0" w:space="0" w:color="auto"/>
                      </w:divBdr>
                    </w:div>
                  </w:divsChild>
                </w:div>
                <w:div w:id="217017551">
                  <w:marLeft w:val="0"/>
                  <w:marRight w:val="0"/>
                  <w:marTop w:val="0"/>
                  <w:marBottom w:val="0"/>
                  <w:divBdr>
                    <w:top w:val="none" w:sz="0" w:space="0" w:color="auto"/>
                    <w:left w:val="none" w:sz="0" w:space="0" w:color="auto"/>
                    <w:bottom w:val="none" w:sz="0" w:space="0" w:color="auto"/>
                    <w:right w:val="none" w:sz="0" w:space="0" w:color="auto"/>
                  </w:divBdr>
                  <w:divsChild>
                    <w:div w:id="536352526">
                      <w:marLeft w:val="0"/>
                      <w:marRight w:val="0"/>
                      <w:marTop w:val="0"/>
                      <w:marBottom w:val="0"/>
                      <w:divBdr>
                        <w:top w:val="none" w:sz="0" w:space="0" w:color="auto"/>
                        <w:left w:val="none" w:sz="0" w:space="0" w:color="auto"/>
                        <w:bottom w:val="none" w:sz="0" w:space="0" w:color="auto"/>
                        <w:right w:val="none" w:sz="0" w:space="0" w:color="auto"/>
                      </w:divBdr>
                    </w:div>
                  </w:divsChild>
                </w:div>
                <w:div w:id="1044794873">
                  <w:marLeft w:val="0"/>
                  <w:marRight w:val="0"/>
                  <w:marTop w:val="0"/>
                  <w:marBottom w:val="0"/>
                  <w:divBdr>
                    <w:top w:val="none" w:sz="0" w:space="0" w:color="auto"/>
                    <w:left w:val="none" w:sz="0" w:space="0" w:color="auto"/>
                    <w:bottom w:val="none" w:sz="0" w:space="0" w:color="auto"/>
                    <w:right w:val="none" w:sz="0" w:space="0" w:color="auto"/>
                  </w:divBdr>
                  <w:divsChild>
                    <w:div w:id="1491368800">
                      <w:marLeft w:val="0"/>
                      <w:marRight w:val="0"/>
                      <w:marTop w:val="0"/>
                      <w:marBottom w:val="0"/>
                      <w:divBdr>
                        <w:top w:val="none" w:sz="0" w:space="0" w:color="auto"/>
                        <w:left w:val="none" w:sz="0" w:space="0" w:color="auto"/>
                        <w:bottom w:val="none" w:sz="0" w:space="0" w:color="auto"/>
                        <w:right w:val="none" w:sz="0" w:space="0" w:color="auto"/>
                      </w:divBdr>
                    </w:div>
                  </w:divsChild>
                </w:div>
                <w:div w:id="795099131">
                  <w:marLeft w:val="0"/>
                  <w:marRight w:val="0"/>
                  <w:marTop w:val="0"/>
                  <w:marBottom w:val="0"/>
                  <w:divBdr>
                    <w:top w:val="none" w:sz="0" w:space="0" w:color="auto"/>
                    <w:left w:val="none" w:sz="0" w:space="0" w:color="auto"/>
                    <w:bottom w:val="none" w:sz="0" w:space="0" w:color="auto"/>
                    <w:right w:val="none" w:sz="0" w:space="0" w:color="auto"/>
                  </w:divBdr>
                  <w:divsChild>
                    <w:div w:id="1496991310">
                      <w:marLeft w:val="0"/>
                      <w:marRight w:val="0"/>
                      <w:marTop w:val="0"/>
                      <w:marBottom w:val="0"/>
                      <w:divBdr>
                        <w:top w:val="none" w:sz="0" w:space="0" w:color="auto"/>
                        <w:left w:val="none" w:sz="0" w:space="0" w:color="auto"/>
                        <w:bottom w:val="none" w:sz="0" w:space="0" w:color="auto"/>
                        <w:right w:val="none" w:sz="0" w:space="0" w:color="auto"/>
                      </w:divBdr>
                    </w:div>
                  </w:divsChild>
                </w:div>
                <w:div w:id="1344820083">
                  <w:marLeft w:val="0"/>
                  <w:marRight w:val="0"/>
                  <w:marTop w:val="0"/>
                  <w:marBottom w:val="0"/>
                  <w:divBdr>
                    <w:top w:val="none" w:sz="0" w:space="0" w:color="auto"/>
                    <w:left w:val="none" w:sz="0" w:space="0" w:color="auto"/>
                    <w:bottom w:val="none" w:sz="0" w:space="0" w:color="auto"/>
                    <w:right w:val="none" w:sz="0" w:space="0" w:color="auto"/>
                  </w:divBdr>
                  <w:divsChild>
                    <w:div w:id="674386469">
                      <w:marLeft w:val="0"/>
                      <w:marRight w:val="0"/>
                      <w:marTop w:val="0"/>
                      <w:marBottom w:val="0"/>
                      <w:divBdr>
                        <w:top w:val="none" w:sz="0" w:space="0" w:color="auto"/>
                        <w:left w:val="none" w:sz="0" w:space="0" w:color="auto"/>
                        <w:bottom w:val="none" w:sz="0" w:space="0" w:color="auto"/>
                        <w:right w:val="none" w:sz="0" w:space="0" w:color="auto"/>
                      </w:divBdr>
                    </w:div>
                    <w:div w:id="2005663749">
                      <w:marLeft w:val="0"/>
                      <w:marRight w:val="0"/>
                      <w:marTop w:val="0"/>
                      <w:marBottom w:val="0"/>
                      <w:divBdr>
                        <w:top w:val="none" w:sz="0" w:space="0" w:color="auto"/>
                        <w:left w:val="none" w:sz="0" w:space="0" w:color="auto"/>
                        <w:bottom w:val="none" w:sz="0" w:space="0" w:color="auto"/>
                        <w:right w:val="none" w:sz="0" w:space="0" w:color="auto"/>
                      </w:divBdr>
                    </w:div>
                  </w:divsChild>
                </w:div>
                <w:div w:id="913662331">
                  <w:marLeft w:val="0"/>
                  <w:marRight w:val="0"/>
                  <w:marTop w:val="0"/>
                  <w:marBottom w:val="0"/>
                  <w:divBdr>
                    <w:top w:val="none" w:sz="0" w:space="0" w:color="auto"/>
                    <w:left w:val="none" w:sz="0" w:space="0" w:color="auto"/>
                    <w:bottom w:val="none" w:sz="0" w:space="0" w:color="auto"/>
                    <w:right w:val="none" w:sz="0" w:space="0" w:color="auto"/>
                  </w:divBdr>
                  <w:divsChild>
                    <w:div w:id="226378751">
                      <w:marLeft w:val="0"/>
                      <w:marRight w:val="0"/>
                      <w:marTop w:val="0"/>
                      <w:marBottom w:val="0"/>
                      <w:divBdr>
                        <w:top w:val="none" w:sz="0" w:space="0" w:color="auto"/>
                        <w:left w:val="none" w:sz="0" w:space="0" w:color="auto"/>
                        <w:bottom w:val="none" w:sz="0" w:space="0" w:color="auto"/>
                        <w:right w:val="none" w:sz="0" w:space="0" w:color="auto"/>
                      </w:divBdr>
                    </w:div>
                  </w:divsChild>
                </w:div>
                <w:div w:id="310865063">
                  <w:marLeft w:val="0"/>
                  <w:marRight w:val="0"/>
                  <w:marTop w:val="0"/>
                  <w:marBottom w:val="0"/>
                  <w:divBdr>
                    <w:top w:val="none" w:sz="0" w:space="0" w:color="auto"/>
                    <w:left w:val="none" w:sz="0" w:space="0" w:color="auto"/>
                    <w:bottom w:val="none" w:sz="0" w:space="0" w:color="auto"/>
                    <w:right w:val="none" w:sz="0" w:space="0" w:color="auto"/>
                  </w:divBdr>
                  <w:divsChild>
                    <w:div w:id="1455708202">
                      <w:marLeft w:val="0"/>
                      <w:marRight w:val="0"/>
                      <w:marTop w:val="0"/>
                      <w:marBottom w:val="0"/>
                      <w:divBdr>
                        <w:top w:val="none" w:sz="0" w:space="0" w:color="auto"/>
                        <w:left w:val="none" w:sz="0" w:space="0" w:color="auto"/>
                        <w:bottom w:val="none" w:sz="0" w:space="0" w:color="auto"/>
                        <w:right w:val="none" w:sz="0" w:space="0" w:color="auto"/>
                      </w:divBdr>
                    </w:div>
                    <w:div w:id="1464695403">
                      <w:marLeft w:val="0"/>
                      <w:marRight w:val="0"/>
                      <w:marTop w:val="0"/>
                      <w:marBottom w:val="0"/>
                      <w:divBdr>
                        <w:top w:val="none" w:sz="0" w:space="0" w:color="auto"/>
                        <w:left w:val="none" w:sz="0" w:space="0" w:color="auto"/>
                        <w:bottom w:val="none" w:sz="0" w:space="0" w:color="auto"/>
                        <w:right w:val="none" w:sz="0" w:space="0" w:color="auto"/>
                      </w:divBdr>
                    </w:div>
                    <w:div w:id="21590055">
                      <w:marLeft w:val="0"/>
                      <w:marRight w:val="0"/>
                      <w:marTop w:val="0"/>
                      <w:marBottom w:val="0"/>
                      <w:divBdr>
                        <w:top w:val="none" w:sz="0" w:space="0" w:color="auto"/>
                        <w:left w:val="none" w:sz="0" w:space="0" w:color="auto"/>
                        <w:bottom w:val="none" w:sz="0" w:space="0" w:color="auto"/>
                        <w:right w:val="none" w:sz="0" w:space="0" w:color="auto"/>
                      </w:divBdr>
                    </w:div>
                    <w:div w:id="576018465">
                      <w:marLeft w:val="0"/>
                      <w:marRight w:val="0"/>
                      <w:marTop w:val="0"/>
                      <w:marBottom w:val="0"/>
                      <w:divBdr>
                        <w:top w:val="none" w:sz="0" w:space="0" w:color="auto"/>
                        <w:left w:val="none" w:sz="0" w:space="0" w:color="auto"/>
                        <w:bottom w:val="none" w:sz="0" w:space="0" w:color="auto"/>
                        <w:right w:val="none" w:sz="0" w:space="0" w:color="auto"/>
                      </w:divBdr>
                    </w:div>
                    <w:div w:id="2145269247">
                      <w:marLeft w:val="0"/>
                      <w:marRight w:val="0"/>
                      <w:marTop w:val="0"/>
                      <w:marBottom w:val="0"/>
                      <w:divBdr>
                        <w:top w:val="none" w:sz="0" w:space="0" w:color="auto"/>
                        <w:left w:val="none" w:sz="0" w:space="0" w:color="auto"/>
                        <w:bottom w:val="none" w:sz="0" w:space="0" w:color="auto"/>
                        <w:right w:val="none" w:sz="0" w:space="0" w:color="auto"/>
                      </w:divBdr>
                    </w:div>
                    <w:div w:id="408617744">
                      <w:marLeft w:val="0"/>
                      <w:marRight w:val="0"/>
                      <w:marTop w:val="0"/>
                      <w:marBottom w:val="0"/>
                      <w:divBdr>
                        <w:top w:val="none" w:sz="0" w:space="0" w:color="auto"/>
                        <w:left w:val="none" w:sz="0" w:space="0" w:color="auto"/>
                        <w:bottom w:val="none" w:sz="0" w:space="0" w:color="auto"/>
                        <w:right w:val="none" w:sz="0" w:space="0" w:color="auto"/>
                      </w:divBdr>
                    </w:div>
                  </w:divsChild>
                </w:div>
                <w:div w:id="1797523311">
                  <w:marLeft w:val="0"/>
                  <w:marRight w:val="0"/>
                  <w:marTop w:val="0"/>
                  <w:marBottom w:val="0"/>
                  <w:divBdr>
                    <w:top w:val="none" w:sz="0" w:space="0" w:color="auto"/>
                    <w:left w:val="none" w:sz="0" w:space="0" w:color="auto"/>
                    <w:bottom w:val="none" w:sz="0" w:space="0" w:color="auto"/>
                    <w:right w:val="none" w:sz="0" w:space="0" w:color="auto"/>
                  </w:divBdr>
                  <w:divsChild>
                    <w:div w:id="2059671269">
                      <w:marLeft w:val="0"/>
                      <w:marRight w:val="0"/>
                      <w:marTop w:val="0"/>
                      <w:marBottom w:val="0"/>
                      <w:divBdr>
                        <w:top w:val="none" w:sz="0" w:space="0" w:color="auto"/>
                        <w:left w:val="none" w:sz="0" w:space="0" w:color="auto"/>
                        <w:bottom w:val="none" w:sz="0" w:space="0" w:color="auto"/>
                        <w:right w:val="none" w:sz="0" w:space="0" w:color="auto"/>
                      </w:divBdr>
                    </w:div>
                    <w:div w:id="1865096195">
                      <w:marLeft w:val="0"/>
                      <w:marRight w:val="0"/>
                      <w:marTop w:val="0"/>
                      <w:marBottom w:val="0"/>
                      <w:divBdr>
                        <w:top w:val="none" w:sz="0" w:space="0" w:color="auto"/>
                        <w:left w:val="none" w:sz="0" w:space="0" w:color="auto"/>
                        <w:bottom w:val="none" w:sz="0" w:space="0" w:color="auto"/>
                        <w:right w:val="none" w:sz="0" w:space="0" w:color="auto"/>
                      </w:divBdr>
                    </w:div>
                    <w:div w:id="600916583">
                      <w:marLeft w:val="0"/>
                      <w:marRight w:val="0"/>
                      <w:marTop w:val="0"/>
                      <w:marBottom w:val="0"/>
                      <w:divBdr>
                        <w:top w:val="none" w:sz="0" w:space="0" w:color="auto"/>
                        <w:left w:val="none" w:sz="0" w:space="0" w:color="auto"/>
                        <w:bottom w:val="none" w:sz="0" w:space="0" w:color="auto"/>
                        <w:right w:val="none" w:sz="0" w:space="0" w:color="auto"/>
                      </w:divBdr>
                    </w:div>
                    <w:div w:id="2098358321">
                      <w:marLeft w:val="0"/>
                      <w:marRight w:val="0"/>
                      <w:marTop w:val="0"/>
                      <w:marBottom w:val="0"/>
                      <w:divBdr>
                        <w:top w:val="none" w:sz="0" w:space="0" w:color="auto"/>
                        <w:left w:val="none" w:sz="0" w:space="0" w:color="auto"/>
                        <w:bottom w:val="none" w:sz="0" w:space="0" w:color="auto"/>
                        <w:right w:val="none" w:sz="0" w:space="0" w:color="auto"/>
                      </w:divBdr>
                    </w:div>
                    <w:div w:id="1416131611">
                      <w:marLeft w:val="0"/>
                      <w:marRight w:val="0"/>
                      <w:marTop w:val="0"/>
                      <w:marBottom w:val="0"/>
                      <w:divBdr>
                        <w:top w:val="none" w:sz="0" w:space="0" w:color="auto"/>
                        <w:left w:val="none" w:sz="0" w:space="0" w:color="auto"/>
                        <w:bottom w:val="none" w:sz="0" w:space="0" w:color="auto"/>
                        <w:right w:val="none" w:sz="0" w:space="0" w:color="auto"/>
                      </w:divBdr>
                    </w:div>
                    <w:div w:id="1452047308">
                      <w:marLeft w:val="0"/>
                      <w:marRight w:val="0"/>
                      <w:marTop w:val="0"/>
                      <w:marBottom w:val="0"/>
                      <w:divBdr>
                        <w:top w:val="none" w:sz="0" w:space="0" w:color="auto"/>
                        <w:left w:val="none" w:sz="0" w:space="0" w:color="auto"/>
                        <w:bottom w:val="none" w:sz="0" w:space="0" w:color="auto"/>
                        <w:right w:val="none" w:sz="0" w:space="0" w:color="auto"/>
                      </w:divBdr>
                    </w:div>
                  </w:divsChild>
                </w:div>
                <w:div w:id="1844737922">
                  <w:marLeft w:val="0"/>
                  <w:marRight w:val="0"/>
                  <w:marTop w:val="0"/>
                  <w:marBottom w:val="0"/>
                  <w:divBdr>
                    <w:top w:val="none" w:sz="0" w:space="0" w:color="auto"/>
                    <w:left w:val="none" w:sz="0" w:space="0" w:color="auto"/>
                    <w:bottom w:val="none" w:sz="0" w:space="0" w:color="auto"/>
                    <w:right w:val="none" w:sz="0" w:space="0" w:color="auto"/>
                  </w:divBdr>
                  <w:divsChild>
                    <w:div w:id="881208850">
                      <w:marLeft w:val="0"/>
                      <w:marRight w:val="0"/>
                      <w:marTop w:val="0"/>
                      <w:marBottom w:val="0"/>
                      <w:divBdr>
                        <w:top w:val="none" w:sz="0" w:space="0" w:color="auto"/>
                        <w:left w:val="none" w:sz="0" w:space="0" w:color="auto"/>
                        <w:bottom w:val="none" w:sz="0" w:space="0" w:color="auto"/>
                        <w:right w:val="none" w:sz="0" w:space="0" w:color="auto"/>
                      </w:divBdr>
                    </w:div>
                  </w:divsChild>
                </w:div>
                <w:div w:id="1391420086">
                  <w:marLeft w:val="0"/>
                  <w:marRight w:val="0"/>
                  <w:marTop w:val="0"/>
                  <w:marBottom w:val="0"/>
                  <w:divBdr>
                    <w:top w:val="none" w:sz="0" w:space="0" w:color="auto"/>
                    <w:left w:val="none" w:sz="0" w:space="0" w:color="auto"/>
                    <w:bottom w:val="none" w:sz="0" w:space="0" w:color="auto"/>
                    <w:right w:val="none" w:sz="0" w:space="0" w:color="auto"/>
                  </w:divBdr>
                  <w:divsChild>
                    <w:div w:id="1919944743">
                      <w:marLeft w:val="0"/>
                      <w:marRight w:val="0"/>
                      <w:marTop w:val="0"/>
                      <w:marBottom w:val="0"/>
                      <w:divBdr>
                        <w:top w:val="none" w:sz="0" w:space="0" w:color="auto"/>
                        <w:left w:val="none" w:sz="0" w:space="0" w:color="auto"/>
                        <w:bottom w:val="none" w:sz="0" w:space="0" w:color="auto"/>
                        <w:right w:val="none" w:sz="0" w:space="0" w:color="auto"/>
                      </w:divBdr>
                    </w:div>
                    <w:div w:id="1537279592">
                      <w:marLeft w:val="0"/>
                      <w:marRight w:val="0"/>
                      <w:marTop w:val="0"/>
                      <w:marBottom w:val="0"/>
                      <w:divBdr>
                        <w:top w:val="none" w:sz="0" w:space="0" w:color="auto"/>
                        <w:left w:val="none" w:sz="0" w:space="0" w:color="auto"/>
                        <w:bottom w:val="none" w:sz="0" w:space="0" w:color="auto"/>
                        <w:right w:val="none" w:sz="0" w:space="0" w:color="auto"/>
                      </w:divBdr>
                    </w:div>
                  </w:divsChild>
                </w:div>
                <w:div w:id="1031420405">
                  <w:marLeft w:val="0"/>
                  <w:marRight w:val="0"/>
                  <w:marTop w:val="0"/>
                  <w:marBottom w:val="0"/>
                  <w:divBdr>
                    <w:top w:val="none" w:sz="0" w:space="0" w:color="auto"/>
                    <w:left w:val="none" w:sz="0" w:space="0" w:color="auto"/>
                    <w:bottom w:val="none" w:sz="0" w:space="0" w:color="auto"/>
                    <w:right w:val="none" w:sz="0" w:space="0" w:color="auto"/>
                  </w:divBdr>
                  <w:divsChild>
                    <w:div w:id="386998098">
                      <w:marLeft w:val="0"/>
                      <w:marRight w:val="0"/>
                      <w:marTop w:val="0"/>
                      <w:marBottom w:val="0"/>
                      <w:divBdr>
                        <w:top w:val="none" w:sz="0" w:space="0" w:color="auto"/>
                        <w:left w:val="none" w:sz="0" w:space="0" w:color="auto"/>
                        <w:bottom w:val="none" w:sz="0" w:space="0" w:color="auto"/>
                        <w:right w:val="none" w:sz="0" w:space="0" w:color="auto"/>
                      </w:divBdr>
                    </w:div>
                    <w:div w:id="504518804">
                      <w:marLeft w:val="0"/>
                      <w:marRight w:val="0"/>
                      <w:marTop w:val="0"/>
                      <w:marBottom w:val="0"/>
                      <w:divBdr>
                        <w:top w:val="none" w:sz="0" w:space="0" w:color="auto"/>
                        <w:left w:val="none" w:sz="0" w:space="0" w:color="auto"/>
                        <w:bottom w:val="none" w:sz="0" w:space="0" w:color="auto"/>
                        <w:right w:val="none" w:sz="0" w:space="0" w:color="auto"/>
                      </w:divBdr>
                    </w:div>
                  </w:divsChild>
                </w:div>
                <w:div w:id="1711953876">
                  <w:marLeft w:val="0"/>
                  <w:marRight w:val="0"/>
                  <w:marTop w:val="0"/>
                  <w:marBottom w:val="0"/>
                  <w:divBdr>
                    <w:top w:val="none" w:sz="0" w:space="0" w:color="auto"/>
                    <w:left w:val="none" w:sz="0" w:space="0" w:color="auto"/>
                    <w:bottom w:val="none" w:sz="0" w:space="0" w:color="auto"/>
                    <w:right w:val="none" w:sz="0" w:space="0" w:color="auto"/>
                  </w:divBdr>
                  <w:divsChild>
                    <w:div w:id="303657611">
                      <w:marLeft w:val="0"/>
                      <w:marRight w:val="0"/>
                      <w:marTop w:val="0"/>
                      <w:marBottom w:val="0"/>
                      <w:divBdr>
                        <w:top w:val="none" w:sz="0" w:space="0" w:color="auto"/>
                        <w:left w:val="none" w:sz="0" w:space="0" w:color="auto"/>
                        <w:bottom w:val="none" w:sz="0" w:space="0" w:color="auto"/>
                        <w:right w:val="none" w:sz="0" w:space="0" w:color="auto"/>
                      </w:divBdr>
                    </w:div>
                  </w:divsChild>
                </w:div>
                <w:div w:id="1552307165">
                  <w:marLeft w:val="0"/>
                  <w:marRight w:val="0"/>
                  <w:marTop w:val="0"/>
                  <w:marBottom w:val="0"/>
                  <w:divBdr>
                    <w:top w:val="none" w:sz="0" w:space="0" w:color="auto"/>
                    <w:left w:val="none" w:sz="0" w:space="0" w:color="auto"/>
                    <w:bottom w:val="none" w:sz="0" w:space="0" w:color="auto"/>
                    <w:right w:val="none" w:sz="0" w:space="0" w:color="auto"/>
                  </w:divBdr>
                  <w:divsChild>
                    <w:div w:id="83957590">
                      <w:marLeft w:val="0"/>
                      <w:marRight w:val="0"/>
                      <w:marTop w:val="0"/>
                      <w:marBottom w:val="0"/>
                      <w:divBdr>
                        <w:top w:val="none" w:sz="0" w:space="0" w:color="auto"/>
                        <w:left w:val="none" w:sz="0" w:space="0" w:color="auto"/>
                        <w:bottom w:val="none" w:sz="0" w:space="0" w:color="auto"/>
                        <w:right w:val="none" w:sz="0" w:space="0" w:color="auto"/>
                      </w:divBdr>
                    </w:div>
                  </w:divsChild>
                </w:div>
                <w:div w:id="1847742542">
                  <w:marLeft w:val="0"/>
                  <w:marRight w:val="0"/>
                  <w:marTop w:val="0"/>
                  <w:marBottom w:val="0"/>
                  <w:divBdr>
                    <w:top w:val="none" w:sz="0" w:space="0" w:color="auto"/>
                    <w:left w:val="none" w:sz="0" w:space="0" w:color="auto"/>
                    <w:bottom w:val="none" w:sz="0" w:space="0" w:color="auto"/>
                    <w:right w:val="none" w:sz="0" w:space="0" w:color="auto"/>
                  </w:divBdr>
                  <w:divsChild>
                    <w:div w:id="1657568961">
                      <w:marLeft w:val="0"/>
                      <w:marRight w:val="0"/>
                      <w:marTop w:val="0"/>
                      <w:marBottom w:val="0"/>
                      <w:divBdr>
                        <w:top w:val="none" w:sz="0" w:space="0" w:color="auto"/>
                        <w:left w:val="none" w:sz="0" w:space="0" w:color="auto"/>
                        <w:bottom w:val="none" w:sz="0" w:space="0" w:color="auto"/>
                        <w:right w:val="none" w:sz="0" w:space="0" w:color="auto"/>
                      </w:divBdr>
                    </w:div>
                  </w:divsChild>
                </w:div>
                <w:div w:id="733354099">
                  <w:marLeft w:val="0"/>
                  <w:marRight w:val="0"/>
                  <w:marTop w:val="0"/>
                  <w:marBottom w:val="0"/>
                  <w:divBdr>
                    <w:top w:val="none" w:sz="0" w:space="0" w:color="auto"/>
                    <w:left w:val="none" w:sz="0" w:space="0" w:color="auto"/>
                    <w:bottom w:val="none" w:sz="0" w:space="0" w:color="auto"/>
                    <w:right w:val="none" w:sz="0" w:space="0" w:color="auto"/>
                  </w:divBdr>
                  <w:divsChild>
                    <w:div w:id="1750148827">
                      <w:marLeft w:val="0"/>
                      <w:marRight w:val="0"/>
                      <w:marTop w:val="0"/>
                      <w:marBottom w:val="0"/>
                      <w:divBdr>
                        <w:top w:val="none" w:sz="0" w:space="0" w:color="auto"/>
                        <w:left w:val="none" w:sz="0" w:space="0" w:color="auto"/>
                        <w:bottom w:val="none" w:sz="0" w:space="0" w:color="auto"/>
                        <w:right w:val="none" w:sz="0" w:space="0" w:color="auto"/>
                      </w:divBdr>
                    </w:div>
                  </w:divsChild>
                </w:div>
                <w:div w:id="386144743">
                  <w:marLeft w:val="0"/>
                  <w:marRight w:val="0"/>
                  <w:marTop w:val="0"/>
                  <w:marBottom w:val="0"/>
                  <w:divBdr>
                    <w:top w:val="none" w:sz="0" w:space="0" w:color="auto"/>
                    <w:left w:val="none" w:sz="0" w:space="0" w:color="auto"/>
                    <w:bottom w:val="none" w:sz="0" w:space="0" w:color="auto"/>
                    <w:right w:val="none" w:sz="0" w:space="0" w:color="auto"/>
                  </w:divBdr>
                  <w:divsChild>
                    <w:div w:id="66416728">
                      <w:marLeft w:val="0"/>
                      <w:marRight w:val="0"/>
                      <w:marTop w:val="0"/>
                      <w:marBottom w:val="0"/>
                      <w:divBdr>
                        <w:top w:val="none" w:sz="0" w:space="0" w:color="auto"/>
                        <w:left w:val="none" w:sz="0" w:space="0" w:color="auto"/>
                        <w:bottom w:val="none" w:sz="0" w:space="0" w:color="auto"/>
                        <w:right w:val="none" w:sz="0" w:space="0" w:color="auto"/>
                      </w:divBdr>
                    </w:div>
                  </w:divsChild>
                </w:div>
                <w:div w:id="1186599949">
                  <w:marLeft w:val="0"/>
                  <w:marRight w:val="0"/>
                  <w:marTop w:val="0"/>
                  <w:marBottom w:val="0"/>
                  <w:divBdr>
                    <w:top w:val="none" w:sz="0" w:space="0" w:color="auto"/>
                    <w:left w:val="none" w:sz="0" w:space="0" w:color="auto"/>
                    <w:bottom w:val="none" w:sz="0" w:space="0" w:color="auto"/>
                    <w:right w:val="none" w:sz="0" w:space="0" w:color="auto"/>
                  </w:divBdr>
                  <w:divsChild>
                    <w:div w:id="1106578915">
                      <w:marLeft w:val="0"/>
                      <w:marRight w:val="0"/>
                      <w:marTop w:val="0"/>
                      <w:marBottom w:val="0"/>
                      <w:divBdr>
                        <w:top w:val="none" w:sz="0" w:space="0" w:color="auto"/>
                        <w:left w:val="none" w:sz="0" w:space="0" w:color="auto"/>
                        <w:bottom w:val="none" w:sz="0" w:space="0" w:color="auto"/>
                        <w:right w:val="none" w:sz="0" w:space="0" w:color="auto"/>
                      </w:divBdr>
                    </w:div>
                  </w:divsChild>
                </w:div>
                <w:div w:id="1350984307">
                  <w:marLeft w:val="0"/>
                  <w:marRight w:val="0"/>
                  <w:marTop w:val="0"/>
                  <w:marBottom w:val="0"/>
                  <w:divBdr>
                    <w:top w:val="none" w:sz="0" w:space="0" w:color="auto"/>
                    <w:left w:val="none" w:sz="0" w:space="0" w:color="auto"/>
                    <w:bottom w:val="none" w:sz="0" w:space="0" w:color="auto"/>
                    <w:right w:val="none" w:sz="0" w:space="0" w:color="auto"/>
                  </w:divBdr>
                  <w:divsChild>
                    <w:div w:id="1028676279">
                      <w:marLeft w:val="0"/>
                      <w:marRight w:val="0"/>
                      <w:marTop w:val="0"/>
                      <w:marBottom w:val="0"/>
                      <w:divBdr>
                        <w:top w:val="none" w:sz="0" w:space="0" w:color="auto"/>
                        <w:left w:val="none" w:sz="0" w:space="0" w:color="auto"/>
                        <w:bottom w:val="none" w:sz="0" w:space="0" w:color="auto"/>
                        <w:right w:val="none" w:sz="0" w:space="0" w:color="auto"/>
                      </w:divBdr>
                    </w:div>
                  </w:divsChild>
                </w:div>
                <w:div w:id="431514186">
                  <w:marLeft w:val="0"/>
                  <w:marRight w:val="0"/>
                  <w:marTop w:val="0"/>
                  <w:marBottom w:val="0"/>
                  <w:divBdr>
                    <w:top w:val="none" w:sz="0" w:space="0" w:color="auto"/>
                    <w:left w:val="none" w:sz="0" w:space="0" w:color="auto"/>
                    <w:bottom w:val="none" w:sz="0" w:space="0" w:color="auto"/>
                    <w:right w:val="none" w:sz="0" w:space="0" w:color="auto"/>
                  </w:divBdr>
                  <w:divsChild>
                    <w:div w:id="1871914568">
                      <w:marLeft w:val="0"/>
                      <w:marRight w:val="0"/>
                      <w:marTop w:val="0"/>
                      <w:marBottom w:val="0"/>
                      <w:divBdr>
                        <w:top w:val="none" w:sz="0" w:space="0" w:color="auto"/>
                        <w:left w:val="none" w:sz="0" w:space="0" w:color="auto"/>
                        <w:bottom w:val="none" w:sz="0" w:space="0" w:color="auto"/>
                        <w:right w:val="none" w:sz="0" w:space="0" w:color="auto"/>
                      </w:divBdr>
                    </w:div>
                  </w:divsChild>
                </w:div>
                <w:div w:id="1006591901">
                  <w:marLeft w:val="0"/>
                  <w:marRight w:val="0"/>
                  <w:marTop w:val="0"/>
                  <w:marBottom w:val="0"/>
                  <w:divBdr>
                    <w:top w:val="none" w:sz="0" w:space="0" w:color="auto"/>
                    <w:left w:val="none" w:sz="0" w:space="0" w:color="auto"/>
                    <w:bottom w:val="none" w:sz="0" w:space="0" w:color="auto"/>
                    <w:right w:val="none" w:sz="0" w:space="0" w:color="auto"/>
                  </w:divBdr>
                  <w:divsChild>
                    <w:div w:id="1157962455">
                      <w:marLeft w:val="0"/>
                      <w:marRight w:val="0"/>
                      <w:marTop w:val="0"/>
                      <w:marBottom w:val="0"/>
                      <w:divBdr>
                        <w:top w:val="none" w:sz="0" w:space="0" w:color="auto"/>
                        <w:left w:val="none" w:sz="0" w:space="0" w:color="auto"/>
                        <w:bottom w:val="none" w:sz="0" w:space="0" w:color="auto"/>
                        <w:right w:val="none" w:sz="0" w:space="0" w:color="auto"/>
                      </w:divBdr>
                    </w:div>
                  </w:divsChild>
                </w:div>
                <w:div w:id="1069961123">
                  <w:marLeft w:val="0"/>
                  <w:marRight w:val="0"/>
                  <w:marTop w:val="0"/>
                  <w:marBottom w:val="0"/>
                  <w:divBdr>
                    <w:top w:val="none" w:sz="0" w:space="0" w:color="auto"/>
                    <w:left w:val="none" w:sz="0" w:space="0" w:color="auto"/>
                    <w:bottom w:val="none" w:sz="0" w:space="0" w:color="auto"/>
                    <w:right w:val="none" w:sz="0" w:space="0" w:color="auto"/>
                  </w:divBdr>
                  <w:divsChild>
                    <w:div w:id="1060060479">
                      <w:marLeft w:val="0"/>
                      <w:marRight w:val="0"/>
                      <w:marTop w:val="0"/>
                      <w:marBottom w:val="0"/>
                      <w:divBdr>
                        <w:top w:val="none" w:sz="0" w:space="0" w:color="auto"/>
                        <w:left w:val="none" w:sz="0" w:space="0" w:color="auto"/>
                        <w:bottom w:val="none" w:sz="0" w:space="0" w:color="auto"/>
                        <w:right w:val="none" w:sz="0" w:space="0" w:color="auto"/>
                      </w:divBdr>
                    </w:div>
                    <w:div w:id="658535977">
                      <w:marLeft w:val="0"/>
                      <w:marRight w:val="0"/>
                      <w:marTop w:val="0"/>
                      <w:marBottom w:val="0"/>
                      <w:divBdr>
                        <w:top w:val="none" w:sz="0" w:space="0" w:color="auto"/>
                        <w:left w:val="none" w:sz="0" w:space="0" w:color="auto"/>
                        <w:bottom w:val="none" w:sz="0" w:space="0" w:color="auto"/>
                        <w:right w:val="none" w:sz="0" w:space="0" w:color="auto"/>
                      </w:divBdr>
                    </w:div>
                  </w:divsChild>
                </w:div>
                <w:div w:id="1625841231">
                  <w:marLeft w:val="0"/>
                  <w:marRight w:val="0"/>
                  <w:marTop w:val="0"/>
                  <w:marBottom w:val="0"/>
                  <w:divBdr>
                    <w:top w:val="none" w:sz="0" w:space="0" w:color="auto"/>
                    <w:left w:val="none" w:sz="0" w:space="0" w:color="auto"/>
                    <w:bottom w:val="none" w:sz="0" w:space="0" w:color="auto"/>
                    <w:right w:val="none" w:sz="0" w:space="0" w:color="auto"/>
                  </w:divBdr>
                  <w:divsChild>
                    <w:div w:id="1026173310">
                      <w:marLeft w:val="0"/>
                      <w:marRight w:val="0"/>
                      <w:marTop w:val="0"/>
                      <w:marBottom w:val="0"/>
                      <w:divBdr>
                        <w:top w:val="none" w:sz="0" w:space="0" w:color="auto"/>
                        <w:left w:val="none" w:sz="0" w:space="0" w:color="auto"/>
                        <w:bottom w:val="none" w:sz="0" w:space="0" w:color="auto"/>
                        <w:right w:val="none" w:sz="0" w:space="0" w:color="auto"/>
                      </w:divBdr>
                    </w:div>
                  </w:divsChild>
                </w:div>
                <w:div w:id="1024288906">
                  <w:marLeft w:val="0"/>
                  <w:marRight w:val="0"/>
                  <w:marTop w:val="0"/>
                  <w:marBottom w:val="0"/>
                  <w:divBdr>
                    <w:top w:val="none" w:sz="0" w:space="0" w:color="auto"/>
                    <w:left w:val="none" w:sz="0" w:space="0" w:color="auto"/>
                    <w:bottom w:val="none" w:sz="0" w:space="0" w:color="auto"/>
                    <w:right w:val="none" w:sz="0" w:space="0" w:color="auto"/>
                  </w:divBdr>
                  <w:divsChild>
                    <w:div w:id="368264462">
                      <w:marLeft w:val="0"/>
                      <w:marRight w:val="0"/>
                      <w:marTop w:val="0"/>
                      <w:marBottom w:val="0"/>
                      <w:divBdr>
                        <w:top w:val="none" w:sz="0" w:space="0" w:color="auto"/>
                        <w:left w:val="none" w:sz="0" w:space="0" w:color="auto"/>
                        <w:bottom w:val="none" w:sz="0" w:space="0" w:color="auto"/>
                        <w:right w:val="none" w:sz="0" w:space="0" w:color="auto"/>
                      </w:divBdr>
                    </w:div>
                  </w:divsChild>
                </w:div>
                <w:div w:id="205066488">
                  <w:marLeft w:val="0"/>
                  <w:marRight w:val="0"/>
                  <w:marTop w:val="0"/>
                  <w:marBottom w:val="0"/>
                  <w:divBdr>
                    <w:top w:val="none" w:sz="0" w:space="0" w:color="auto"/>
                    <w:left w:val="none" w:sz="0" w:space="0" w:color="auto"/>
                    <w:bottom w:val="none" w:sz="0" w:space="0" w:color="auto"/>
                    <w:right w:val="none" w:sz="0" w:space="0" w:color="auto"/>
                  </w:divBdr>
                  <w:divsChild>
                    <w:div w:id="808979854">
                      <w:marLeft w:val="0"/>
                      <w:marRight w:val="0"/>
                      <w:marTop w:val="0"/>
                      <w:marBottom w:val="0"/>
                      <w:divBdr>
                        <w:top w:val="none" w:sz="0" w:space="0" w:color="auto"/>
                        <w:left w:val="none" w:sz="0" w:space="0" w:color="auto"/>
                        <w:bottom w:val="none" w:sz="0" w:space="0" w:color="auto"/>
                        <w:right w:val="none" w:sz="0" w:space="0" w:color="auto"/>
                      </w:divBdr>
                    </w:div>
                  </w:divsChild>
                </w:div>
                <w:div w:id="1100881529">
                  <w:marLeft w:val="0"/>
                  <w:marRight w:val="0"/>
                  <w:marTop w:val="0"/>
                  <w:marBottom w:val="0"/>
                  <w:divBdr>
                    <w:top w:val="none" w:sz="0" w:space="0" w:color="auto"/>
                    <w:left w:val="none" w:sz="0" w:space="0" w:color="auto"/>
                    <w:bottom w:val="none" w:sz="0" w:space="0" w:color="auto"/>
                    <w:right w:val="none" w:sz="0" w:space="0" w:color="auto"/>
                  </w:divBdr>
                  <w:divsChild>
                    <w:div w:id="246034367">
                      <w:marLeft w:val="0"/>
                      <w:marRight w:val="0"/>
                      <w:marTop w:val="0"/>
                      <w:marBottom w:val="0"/>
                      <w:divBdr>
                        <w:top w:val="none" w:sz="0" w:space="0" w:color="auto"/>
                        <w:left w:val="none" w:sz="0" w:space="0" w:color="auto"/>
                        <w:bottom w:val="none" w:sz="0" w:space="0" w:color="auto"/>
                        <w:right w:val="none" w:sz="0" w:space="0" w:color="auto"/>
                      </w:divBdr>
                    </w:div>
                  </w:divsChild>
                </w:div>
                <w:div w:id="459107143">
                  <w:marLeft w:val="0"/>
                  <w:marRight w:val="0"/>
                  <w:marTop w:val="0"/>
                  <w:marBottom w:val="0"/>
                  <w:divBdr>
                    <w:top w:val="none" w:sz="0" w:space="0" w:color="auto"/>
                    <w:left w:val="none" w:sz="0" w:space="0" w:color="auto"/>
                    <w:bottom w:val="none" w:sz="0" w:space="0" w:color="auto"/>
                    <w:right w:val="none" w:sz="0" w:space="0" w:color="auto"/>
                  </w:divBdr>
                  <w:divsChild>
                    <w:div w:id="287518841">
                      <w:marLeft w:val="0"/>
                      <w:marRight w:val="0"/>
                      <w:marTop w:val="0"/>
                      <w:marBottom w:val="0"/>
                      <w:divBdr>
                        <w:top w:val="none" w:sz="0" w:space="0" w:color="auto"/>
                        <w:left w:val="none" w:sz="0" w:space="0" w:color="auto"/>
                        <w:bottom w:val="none" w:sz="0" w:space="0" w:color="auto"/>
                        <w:right w:val="none" w:sz="0" w:space="0" w:color="auto"/>
                      </w:divBdr>
                    </w:div>
                  </w:divsChild>
                </w:div>
                <w:div w:id="666396643">
                  <w:marLeft w:val="0"/>
                  <w:marRight w:val="0"/>
                  <w:marTop w:val="0"/>
                  <w:marBottom w:val="0"/>
                  <w:divBdr>
                    <w:top w:val="none" w:sz="0" w:space="0" w:color="auto"/>
                    <w:left w:val="none" w:sz="0" w:space="0" w:color="auto"/>
                    <w:bottom w:val="none" w:sz="0" w:space="0" w:color="auto"/>
                    <w:right w:val="none" w:sz="0" w:space="0" w:color="auto"/>
                  </w:divBdr>
                  <w:divsChild>
                    <w:div w:id="677003069">
                      <w:marLeft w:val="0"/>
                      <w:marRight w:val="0"/>
                      <w:marTop w:val="0"/>
                      <w:marBottom w:val="0"/>
                      <w:divBdr>
                        <w:top w:val="none" w:sz="0" w:space="0" w:color="auto"/>
                        <w:left w:val="none" w:sz="0" w:space="0" w:color="auto"/>
                        <w:bottom w:val="none" w:sz="0" w:space="0" w:color="auto"/>
                        <w:right w:val="none" w:sz="0" w:space="0" w:color="auto"/>
                      </w:divBdr>
                    </w:div>
                  </w:divsChild>
                </w:div>
                <w:div w:id="1452045995">
                  <w:marLeft w:val="0"/>
                  <w:marRight w:val="0"/>
                  <w:marTop w:val="0"/>
                  <w:marBottom w:val="0"/>
                  <w:divBdr>
                    <w:top w:val="none" w:sz="0" w:space="0" w:color="auto"/>
                    <w:left w:val="none" w:sz="0" w:space="0" w:color="auto"/>
                    <w:bottom w:val="none" w:sz="0" w:space="0" w:color="auto"/>
                    <w:right w:val="none" w:sz="0" w:space="0" w:color="auto"/>
                  </w:divBdr>
                  <w:divsChild>
                    <w:div w:id="118493581">
                      <w:marLeft w:val="0"/>
                      <w:marRight w:val="0"/>
                      <w:marTop w:val="0"/>
                      <w:marBottom w:val="0"/>
                      <w:divBdr>
                        <w:top w:val="none" w:sz="0" w:space="0" w:color="auto"/>
                        <w:left w:val="none" w:sz="0" w:space="0" w:color="auto"/>
                        <w:bottom w:val="none" w:sz="0" w:space="0" w:color="auto"/>
                        <w:right w:val="none" w:sz="0" w:space="0" w:color="auto"/>
                      </w:divBdr>
                    </w:div>
                  </w:divsChild>
                </w:div>
                <w:div w:id="1059982378">
                  <w:marLeft w:val="0"/>
                  <w:marRight w:val="0"/>
                  <w:marTop w:val="0"/>
                  <w:marBottom w:val="0"/>
                  <w:divBdr>
                    <w:top w:val="none" w:sz="0" w:space="0" w:color="auto"/>
                    <w:left w:val="none" w:sz="0" w:space="0" w:color="auto"/>
                    <w:bottom w:val="none" w:sz="0" w:space="0" w:color="auto"/>
                    <w:right w:val="none" w:sz="0" w:space="0" w:color="auto"/>
                  </w:divBdr>
                  <w:divsChild>
                    <w:div w:id="805586977">
                      <w:marLeft w:val="0"/>
                      <w:marRight w:val="0"/>
                      <w:marTop w:val="0"/>
                      <w:marBottom w:val="0"/>
                      <w:divBdr>
                        <w:top w:val="none" w:sz="0" w:space="0" w:color="auto"/>
                        <w:left w:val="none" w:sz="0" w:space="0" w:color="auto"/>
                        <w:bottom w:val="none" w:sz="0" w:space="0" w:color="auto"/>
                        <w:right w:val="none" w:sz="0" w:space="0" w:color="auto"/>
                      </w:divBdr>
                    </w:div>
                  </w:divsChild>
                </w:div>
                <w:div w:id="1067728486">
                  <w:marLeft w:val="0"/>
                  <w:marRight w:val="0"/>
                  <w:marTop w:val="0"/>
                  <w:marBottom w:val="0"/>
                  <w:divBdr>
                    <w:top w:val="none" w:sz="0" w:space="0" w:color="auto"/>
                    <w:left w:val="none" w:sz="0" w:space="0" w:color="auto"/>
                    <w:bottom w:val="none" w:sz="0" w:space="0" w:color="auto"/>
                    <w:right w:val="none" w:sz="0" w:space="0" w:color="auto"/>
                  </w:divBdr>
                  <w:divsChild>
                    <w:div w:id="913782624">
                      <w:marLeft w:val="0"/>
                      <w:marRight w:val="0"/>
                      <w:marTop w:val="0"/>
                      <w:marBottom w:val="0"/>
                      <w:divBdr>
                        <w:top w:val="none" w:sz="0" w:space="0" w:color="auto"/>
                        <w:left w:val="none" w:sz="0" w:space="0" w:color="auto"/>
                        <w:bottom w:val="none" w:sz="0" w:space="0" w:color="auto"/>
                        <w:right w:val="none" w:sz="0" w:space="0" w:color="auto"/>
                      </w:divBdr>
                    </w:div>
                    <w:div w:id="110907673">
                      <w:marLeft w:val="0"/>
                      <w:marRight w:val="0"/>
                      <w:marTop w:val="0"/>
                      <w:marBottom w:val="0"/>
                      <w:divBdr>
                        <w:top w:val="none" w:sz="0" w:space="0" w:color="auto"/>
                        <w:left w:val="none" w:sz="0" w:space="0" w:color="auto"/>
                        <w:bottom w:val="none" w:sz="0" w:space="0" w:color="auto"/>
                        <w:right w:val="none" w:sz="0" w:space="0" w:color="auto"/>
                      </w:divBdr>
                    </w:div>
                  </w:divsChild>
                </w:div>
                <w:div w:id="1699164363">
                  <w:marLeft w:val="0"/>
                  <w:marRight w:val="0"/>
                  <w:marTop w:val="0"/>
                  <w:marBottom w:val="0"/>
                  <w:divBdr>
                    <w:top w:val="none" w:sz="0" w:space="0" w:color="auto"/>
                    <w:left w:val="none" w:sz="0" w:space="0" w:color="auto"/>
                    <w:bottom w:val="none" w:sz="0" w:space="0" w:color="auto"/>
                    <w:right w:val="none" w:sz="0" w:space="0" w:color="auto"/>
                  </w:divBdr>
                  <w:divsChild>
                    <w:div w:id="1736777329">
                      <w:marLeft w:val="0"/>
                      <w:marRight w:val="0"/>
                      <w:marTop w:val="0"/>
                      <w:marBottom w:val="0"/>
                      <w:divBdr>
                        <w:top w:val="none" w:sz="0" w:space="0" w:color="auto"/>
                        <w:left w:val="none" w:sz="0" w:space="0" w:color="auto"/>
                        <w:bottom w:val="none" w:sz="0" w:space="0" w:color="auto"/>
                        <w:right w:val="none" w:sz="0" w:space="0" w:color="auto"/>
                      </w:divBdr>
                    </w:div>
                    <w:div w:id="1850950713">
                      <w:marLeft w:val="0"/>
                      <w:marRight w:val="0"/>
                      <w:marTop w:val="0"/>
                      <w:marBottom w:val="0"/>
                      <w:divBdr>
                        <w:top w:val="none" w:sz="0" w:space="0" w:color="auto"/>
                        <w:left w:val="none" w:sz="0" w:space="0" w:color="auto"/>
                        <w:bottom w:val="none" w:sz="0" w:space="0" w:color="auto"/>
                        <w:right w:val="none" w:sz="0" w:space="0" w:color="auto"/>
                      </w:divBdr>
                    </w:div>
                  </w:divsChild>
                </w:div>
                <w:div w:id="1397245931">
                  <w:marLeft w:val="0"/>
                  <w:marRight w:val="0"/>
                  <w:marTop w:val="0"/>
                  <w:marBottom w:val="0"/>
                  <w:divBdr>
                    <w:top w:val="none" w:sz="0" w:space="0" w:color="auto"/>
                    <w:left w:val="none" w:sz="0" w:space="0" w:color="auto"/>
                    <w:bottom w:val="none" w:sz="0" w:space="0" w:color="auto"/>
                    <w:right w:val="none" w:sz="0" w:space="0" w:color="auto"/>
                  </w:divBdr>
                  <w:divsChild>
                    <w:div w:id="1819614239">
                      <w:marLeft w:val="0"/>
                      <w:marRight w:val="0"/>
                      <w:marTop w:val="0"/>
                      <w:marBottom w:val="0"/>
                      <w:divBdr>
                        <w:top w:val="none" w:sz="0" w:space="0" w:color="auto"/>
                        <w:left w:val="none" w:sz="0" w:space="0" w:color="auto"/>
                        <w:bottom w:val="none" w:sz="0" w:space="0" w:color="auto"/>
                        <w:right w:val="none" w:sz="0" w:space="0" w:color="auto"/>
                      </w:divBdr>
                    </w:div>
                  </w:divsChild>
                </w:div>
                <w:div w:id="150798682">
                  <w:marLeft w:val="0"/>
                  <w:marRight w:val="0"/>
                  <w:marTop w:val="0"/>
                  <w:marBottom w:val="0"/>
                  <w:divBdr>
                    <w:top w:val="none" w:sz="0" w:space="0" w:color="auto"/>
                    <w:left w:val="none" w:sz="0" w:space="0" w:color="auto"/>
                    <w:bottom w:val="none" w:sz="0" w:space="0" w:color="auto"/>
                    <w:right w:val="none" w:sz="0" w:space="0" w:color="auto"/>
                  </w:divBdr>
                  <w:divsChild>
                    <w:div w:id="239026888">
                      <w:marLeft w:val="0"/>
                      <w:marRight w:val="0"/>
                      <w:marTop w:val="0"/>
                      <w:marBottom w:val="0"/>
                      <w:divBdr>
                        <w:top w:val="none" w:sz="0" w:space="0" w:color="auto"/>
                        <w:left w:val="none" w:sz="0" w:space="0" w:color="auto"/>
                        <w:bottom w:val="none" w:sz="0" w:space="0" w:color="auto"/>
                        <w:right w:val="none" w:sz="0" w:space="0" w:color="auto"/>
                      </w:divBdr>
                    </w:div>
                  </w:divsChild>
                </w:div>
                <w:div w:id="1331563886">
                  <w:marLeft w:val="0"/>
                  <w:marRight w:val="0"/>
                  <w:marTop w:val="0"/>
                  <w:marBottom w:val="0"/>
                  <w:divBdr>
                    <w:top w:val="none" w:sz="0" w:space="0" w:color="auto"/>
                    <w:left w:val="none" w:sz="0" w:space="0" w:color="auto"/>
                    <w:bottom w:val="none" w:sz="0" w:space="0" w:color="auto"/>
                    <w:right w:val="none" w:sz="0" w:space="0" w:color="auto"/>
                  </w:divBdr>
                  <w:divsChild>
                    <w:div w:id="1764180231">
                      <w:marLeft w:val="0"/>
                      <w:marRight w:val="0"/>
                      <w:marTop w:val="0"/>
                      <w:marBottom w:val="0"/>
                      <w:divBdr>
                        <w:top w:val="none" w:sz="0" w:space="0" w:color="auto"/>
                        <w:left w:val="none" w:sz="0" w:space="0" w:color="auto"/>
                        <w:bottom w:val="none" w:sz="0" w:space="0" w:color="auto"/>
                        <w:right w:val="none" w:sz="0" w:space="0" w:color="auto"/>
                      </w:divBdr>
                    </w:div>
                  </w:divsChild>
                </w:div>
                <w:div w:id="1135030631">
                  <w:marLeft w:val="0"/>
                  <w:marRight w:val="0"/>
                  <w:marTop w:val="0"/>
                  <w:marBottom w:val="0"/>
                  <w:divBdr>
                    <w:top w:val="none" w:sz="0" w:space="0" w:color="auto"/>
                    <w:left w:val="none" w:sz="0" w:space="0" w:color="auto"/>
                    <w:bottom w:val="none" w:sz="0" w:space="0" w:color="auto"/>
                    <w:right w:val="none" w:sz="0" w:space="0" w:color="auto"/>
                  </w:divBdr>
                  <w:divsChild>
                    <w:div w:id="1237940501">
                      <w:marLeft w:val="0"/>
                      <w:marRight w:val="0"/>
                      <w:marTop w:val="0"/>
                      <w:marBottom w:val="0"/>
                      <w:divBdr>
                        <w:top w:val="none" w:sz="0" w:space="0" w:color="auto"/>
                        <w:left w:val="none" w:sz="0" w:space="0" w:color="auto"/>
                        <w:bottom w:val="none" w:sz="0" w:space="0" w:color="auto"/>
                        <w:right w:val="none" w:sz="0" w:space="0" w:color="auto"/>
                      </w:divBdr>
                    </w:div>
                  </w:divsChild>
                </w:div>
                <w:div w:id="1027871579">
                  <w:marLeft w:val="0"/>
                  <w:marRight w:val="0"/>
                  <w:marTop w:val="0"/>
                  <w:marBottom w:val="0"/>
                  <w:divBdr>
                    <w:top w:val="none" w:sz="0" w:space="0" w:color="auto"/>
                    <w:left w:val="none" w:sz="0" w:space="0" w:color="auto"/>
                    <w:bottom w:val="none" w:sz="0" w:space="0" w:color="auto"/>
                    <w:right w:val="none" w:sz="0" w:space="0" w:color="auto"/>
                  </w:divBdr>
                  <w:divsChild>
                    <w:div w:id="1501122447">
                      <w:marLeft w:val="0"/>
                      <w:marRight w:val="0"/>
                      <w:marTop w:val="0"/>
                      <w:marBottom w:val="0"/>
                      <w:divBdr>
                        <w:top w:val="none" w:sz="0" w:space="0" w:color="auto"/>
                        <w:left w:val="none" w:sz="0" w:space="0" w:color="auto"/>
                        <w:bottom w:val="none" w:sz="0" w:space="0" w:color="auto"/>
                        <w:right w:val="none" w:sz="0" w:space="0" w:color="auto"/>
                      </w:divBdr>
                    </w:div>
                  </w:divsChild>
                </w:div>
                <w:div w:id="885995584">
                  <w:marLeft w:val="0"/>
                  <w:marRight w:val="0"/>
                  <w:marTop w:val="0"/>
                  <w:marBottom w:val="0"/>
                  <w:divBdr>
                    <w:top w:val="none" w:sz="0" w:space="0" w:color="auto"/>
                    <w:left w:val="none" w:sz="0" w:space="0" w:color="auto"/>
                    <w:bottom w:val="none" w:sz="0" w:space="0" w:color="auto"/>
                    <w:right w:val="none" w:sz="0" w:space="0" w:color="auto"/>
                  </w:divBdr>
                  <w:divsChild>
                    <w:div w:id="229121211">
                      <w:marLeft w:val="0"/>
                      <w:marRight w:val="0"/>
                      <w:marTop w:val="0"/>
                      <w:marBottom w:val="0"/>
                      <w:divBdr>
                        <w:top w:val="none" w:sz="0" w:space="0" w:color="auto"/>
                        <w:left w:val="none" w:sz="0" w:space="0" w:color="auto"/>
                        <w:bottom w:val="none" w:sz="0" w:space="0" w:color="auto"/>
                        <w:right w:val="none" w:sz="0" w:space="0" w:color="auto"/>
                      </w:divBdr>
                    </w:div>
                  </w:divsChild>
                </w:div>
                <w:div w:id="36663122">
                  <w:marLeft w:val="0"/>
                  <w:marRight w:val="0"/>
                  <w:marTop w:val="0"/>
                  <w:marBottom w:val="0"/>
                  <w:divBdr>
                    <w:top w:val="none" w:sz="0" w:space="0" w:color="auto"/>
                    <w:left w:val="none" w:sz="0" w:space="0" w:color="auto"/>
                    <w:bottom w:val="none" w:sz="0" w:space="0" w:color="auto"/>
                    <w:right w:val="none" w:sz="0" w:space="0" w:color="auto"/>
                  </w:divBdr>
                  <w:divsChild>
                    <w:div w:id="387340441">
                      <w:marLeft w:val="0"/>
                      <w:marRight w:val="0"/>
                      <w:marTop w:val="0"/>
                      <w:marBottom w:val="0"/>
                      <w:divBdr>
                        <w:top w:val="none" w:sz="0" w:space="0" w:color="auto"/>
                        <w:left w:val="none" w:sz="0" w:space="0" w:color="auto"/>
                        <w:bottom w:val="none" w:sz="0" w:space="0" w:color="auto"/>
                        <w:right w:val="none" w:sz="0" w:space="0" w:color="auto"/>
                      </w:divBdr>
                    </w:div>
                  </w:divsChild>
                </w:div>
                <w:div w:id="1679506808">
                  <w:marLeft w:val="0"/>
                  <w:marRight w:val="0"/>
                  <w:marTop w:val="0"/>
                  <w:marBottom w:val="0"/>
                  <w:divBdr>
                    <w:top w:val="none" w:sz="0" w:space="0" w:color="auto"/>
                    <w:left w:val="none" w:sz="0" w:space="0" w:color="auto"/>
                    <w:bottom w:val="none" w:sz="0" w:space="0" w:color="auto"/>
                    <w:right w:val="none" w:sz="0" w:space="0" w:color="auto"/>
                  </w:divBdr>
                  <w:divsChild>
                    <w:div w:id="990908498">
                      <w:marLeft w:val="0"/>
                      <w:marRight w:val="0"/>
                      <w:marTop w:val="0"/>
                      <w:marBottom w:val="0"/>
                      <w:divBdr>
                        <w:top w:val="none" w:sz="0" w:space="0" w:color="auto"/>
                        <w:left w:val="none" w:sz="0" w:space="0" w:color="auto"/>
                        <w:bottom w:val="none" w:sz="0" w:space="0" w:color="auto"/>
                        <w:right w:val="none" w:sz="0" w:space="0" w:color="auto"/>
                      </w:divBdr>
                    </w:div>
                    <w:div w:id="514273436">
                      <w:marLeft w:val="0"/>
                      <w:marRight w:val="0"/>
                      <w:marTop w:val="0"/>
                      <w:marBottom w:val="0"/>
                      <w:divBdr>
                        <w:top w:val="none" w:sz="0" w:space="0" w:color="auto"/>
                        <w:left w:val="none" w:sz="0" w:space="0" w:color="auto"/>
                        <w:bottom w:val="none" w:sz="0" w:space="0" w:color="auto"/>
                        <w:right w:val="none" w:sz="0" w:space="0" w:color="auto"/>
                      </w:divBdr>
                    </w:div>
                  </w:divsChild>
                </w:div>
                <w:div w:id="161701035">
                  <w:marLeft w:val="0"/>
                  <w:marRight w:val="0"/>
                  <w:marTop w:val="0"/>
                  <w:marBottom w:val="0"/>
                  <w:divBdr>
                    <w:top w:val="none" w:sz="0" w:space="0" w:color="auto"/>
                    <w:left w:val="none" w:sz="0" w:space="0" w:color="auto"/>
                    <w:bottom w:val="none" w:sz="0" w:space="0" w:color="auto"/>
                    <w:right w:val="none" w:sz="0" w:space="0" w:color="auto"/>
                  </w:divBdr>
                  <w:divsChild>
                    <w:div w:id="1345672129">
                      <w:marLeft w:val="0"/>
                      <w:marRight w:val="0"/>
                      <w:marTop w:val="0"/>
                      <w:marBottom w:val="0"/>
                      <w:divBdr>
                        <w:top w:val="none" w:sz="0" w:space="0" w:color="auto"/>
                        <w:left w:val="none" w:sz="0" w:space="0" w:color="auto"/>
                        <w:bottom w:val="none" w:sz="0" w:space="0" w:color="auto"/>
                        <w:right w:val="none" w:sz="0" w:space="0" w:color="auto"/>
                      </w:divBdr>
                    </w:div>
                    <w:div w:id="628434887">
                      <w:marLeft w:val="0"/>
                      <w:marRight w:val="0"/>
                      <w:marTop w:val="0"/>
                      <w:marBottom w:val="0"/>
                      <w:divBdr>
                        <w:top w:val="none" w:sz="0" w:space="0" w:color="auto"/>
                        <w:left w:val="none" w:sz="0" w:space="0" w:color="auto"/>
                        <w:bottom w:val="none" w:sz="0" w:space="0" w:color="auto"/>
                        <w:right w:val="none" w:sz="0" w:space="0" w:color="auto"/>
                      </w:divBdr>
                    </w:div>
                  </w:divsChild>
                </w:div>
                <w:div w:id="1785735144">
                  <w:marLeft w:val="0"/>
                  <w:marRight w:val="0"/>
                  <w:marTop w:val="0"/>
                  <w:marBottom w:val="0"/>
                  <w:divBdr>
                    <w:top w:val="none" w:sz="0" w:space="0" w:color="auto"/>
                    <w:left w:val="none" w:sz="0" w:space="0" w:color="auto"/>
                    <w:bottom w:val="none" w:sz="0" w:space="0" w:color="auto"/>
                    <w:right w:val="none" w:sz="0" w:space="0" w:color="auto"/>
                  </w:divBdr>
                  <w:divsChild>
                    <w:div w:id="1086539810">
                      <w:marLeft w:val="0"/>
                      <w:marRight w:val="0"/>
                      <w:marTop w:val="0"/>
                      <w:marBottom w:val="0"/>
                      <w:divBdr>
                        <w:top w:val="none" w:sz="0" w:space="0" w:color="auto"/>
                        <w:left w:val="none" w:sz="0" w:space="0" w:color="auto"/>
                        <w:bottom w:val="none" w:sz="0" w:space="0" w:color="auto"/>
                        <w:right w:val="none" w:sz="0" w:space="0" w:color="auto"/>
                      </w:divBdr>
                    </w:div>
                  </w:divsChild>
                </w:div>
                <w:div w:id="1863205852">
                  <w:marLeft w:val="0"/>
                  <w:marRight w:val="0"/>
                  <w:marTop w:val="0"/>
                  <w:marBottom w:val="0"/>
                  <w:divBdr>
                    <w:top w:val="none" w:sz="0" w:space="0" w:color="auto"/>
                    <w:left w:val="none" w:sz="0" w:space="0" w:color="auto"/>
                    <w:bottom w:val="none" w:sz="0" w:space="0" w:color="auto"/>
                    <w:right w:val="none" w:sz="0" w:space="0" w:color="auto"/>
                  </w:divBdr>
                  <w:divsChild>
                    <w:div w:id="273023936">
                      <w:marLeft w:val="0"/>
                      <w:marRight w:val="0"/>
                      <w:marTop w:val="0"/>
                      <w:marBottom w:val="0"/>
                      <w:divBdr>
                        <w:top w:val="none" w:sz="0" w:space="0" w:color="auto"/>
                        <w:left w:val="none" w:sz="0" w:space="0" w:color="auto"/>
                        <w:bottom w:val="none" w:sz="0" w:space="0" w:color="auto"/>
                        <w:right w:val="none" w:sz="0" w:space="0" w:color="auto"/>
                      </w:divBdr>
                    </w:div>
                  </w:divsChild>
                </w:div>
                <w:div w:id="1983541206">
                  <w:marLeft w:val="0"/>
                  <w:marRight w:val="0"/>
                  <w:marTop w:val="0"/>
                  <w:marBottom w:val="0"/>
                  <w:divBdr>
                    <w:top w:val="none" w:sz="0" w:space="0" w:color="auto"/>
                    <w:left w:val="none" w:sz="0" w:space="0" w:color="auto"/>
                    <w:bottom w:val="none" w:sz="0" w:space="0" w:color="auto"/>
                    <w:right w:val="none" w:sz="0" w:space="0" w:color="auto"/>
                  </w:divBdr>
                  <w:divsChild>
                    <w:div w:id="1623070668">
                      <w:marLeft w:val="0"/>
                      <w:marRight w:val="0"/>
                      <w:marTop w:val="0"/>
                      <w:marBottom w:val="0"/>
                      <w:divBdr>
                        <w:top w:val="none" w:sz="0" w:space="0" w:color="auto"/>
                        <w:left w:val="none" w:sz="0" w:space="0" w:color="auto"/>
                        <w:bottom w:val="none" w:sz="0" w:space="0" w:color="auto"/>
                        <w:right w:val="none" w:sz="0" w:space="0" w:color="auto"/>
                      </w:divBdr>
                    </w:div>
                  </w:divsChild>
                </w:div>
                <w:div w:id="568424057">
                  <w:marLeft w:val="0"/>
                  <w:marRight w:val="0"/>
                  <w:marTop w:val="0"/>
                  <w:marBottom w:val="0"/>
                  <w:divBdr>
                    <w:top w:val="none" w:sz="0" w:space="0" w:color="auto"/>
                    <w:left w:val="none" w:sz="0" w:space="0" w:color="auto"/>
                    <w:bottom w:val="none" w:sz="0" w:space="0" w:color="auto"/>
                    <w:right w:val="none" w:sz="0" w:space="0" w:color="auto"/>
                  </w:divBdr>
                  <w:divsChild>
                    <w:div w:id="170802158">
                      <w:marLeft w:val="0"/>
                      <w:marRight w:val="0"/>
                      <w:marTop w:val="0"/>
                      <w:marBottom w:val="0"/>
                      <w:divBdr>
                        <w:top w:val="none" w:sz="0" w:space="0" w:color="auto"/>
                        <w:left w:val="none" w:sz="0" w:space="0" w:color="auto"/>
                        <w:bottom w:val="none" w:sz="0" w:space="0" w:color="auto"/>
                        <w:right w:val="none" w:sz="0" w:space="0" w:color="auto"/>
                      </w:divBdr>
                    </w:div>
                  </w:divsChild>
                </w:div>
                <w:div w:id="1494834748">
                  <w:marLeft w:val="0"/>
                  <w:marRight w:val="0"/>
                  <w:marTop w:val="0"/>
                  <w:marBottom w:val="0"/>
                  <w:divBdr>
                    <w:top w:val="none" w:sz="0" w:space="0" w:color="auto"/>
                    <w:left w:val="none" w:sz="0" w:space="0" w:color="auto"/>
                    <w:bottom w:val="none" w:sz="0" w:space="0" w:color="auto"/>
                    <w:right w:val="none" w:sz="0" w:space="0" w:color="auto"/>
                  </w:divBdr>
                  <w:divsChild>
                    <w:div w:id="771706921">
                      <w:marLeft w:val="0"/>
                      <w:marRight w:val="0"/>
                      <w:marTop w:val="0"/>
                      <w:marBottom w:val="0"/>
                      <w:divBdr>
                        <w:top w:val="none" w:sz="0" w:space="0" w:color="auto"/>
                        <w:left w:val="none" w:sz="0" w:space="0" w:color="auto"/>
                        <w:bottom w:val="none" w:sz="0" w:space="0" w:color="auto"/>
                        <w:right w:val="none" w:sz="0" w:space="0" w:color="auto"/>
                      </w:divBdr>
                    </w:div>
                  </w:divsChild>
                </w:div>
                <w:div w:id="713652467">
                  <w:marLeft w:val="0"/>
                  <w:marRight w:val="0"/>
                  <w:marTop w:val="0"/>
                  <w:marBottom w:val="0"/>
                  <w:divBdr>
                    <w:top w:val="none" w:sz="0" w:space="0" w:color="auto"/>
                    <w:left w:val="none" w:sz="0" w:space="0" w:color="auto"/>
                    <w:bottom w:val="none" w:sz="0" w:space="0" w:color="auto"/>
                    <w:right w:val="none" w:sz="0" w:space="0" w:color="auto"/>
                  </w:divBdr>
                  <w:divsChild>
                    <w:div w:id="1448037566">
                      <w:marLeft w:val="0"/>
                      <w:marRight w:val="0"/>
                      <w:marTop w:val="0"/>
                      <w:marBottom w:val="0"/>
                      <w:divBdr>
                        <w:top w:val="none" w:sz="0" w:space="0" w:color="auto"/>
                        <w:left w:val="none" w:sz="0" w:space="0" w:color="auto"/>
                        <w:bottom w:val="none" w:sz="0" w:space="0" w:color="auto"/>
                        <w:right w:val="none" w:sz="0" w:space="0" w:color="auto"/>
                      </w:divBdr>
                    </w:div>
                  </w:divsChild>
                </w:div>
                <w:div w:id="554657210">
                  <w:marLeft w:val="0"/>
                  <w:marRight w:val="0"/>
                  <w:marTop w:val="0"/>
                  <w:marBottom w:val="0"/>
                  <w:divBdr>
                    <w:top w:val="none" w:sz="0" w:space="0" w:color="auto"/>
                    <w:left w:val="none" w:sz="0" w:space="0" w:color="auto"/>
                    <w:bottom w:val="none" w:sz="0" w:space="0" w:color="auto"/>
                    <w:right w:val="none" w:sz="0" w:space="0" w:color="auto"/>
                  </w:divBdr>
                  <w:divsChild>
                    <w:div w:id="1002704204">
                      <w:marLeft w:val="0"/>
                      <w:marRight w:val="0"/>
                      <w:marTop w:val="0"/>
                      <w:marBottom w:val="0"/>
                      <w:divBdr>
                        <w:top w:val="none" w:sz="0" w:space="0" w:color="auto"/>
                        <w:left w:val="none" w:sz="0" w:space="0" w:color="auto"/>
                        <w:bottom w:val="none" w:sz="0" w:space="0" w:color="auto"/>
                        <w:right w:val="none" w:sz="0" w:space="0" w:color="auto"/>
                      </w:divBdr>
                    </w:div>
                  </w:divsChild>
                </w:div>
                <w:div w:id="804464639">
                  <w:marLeft w:val="0"/>
                  <w:marRight w:val="0"/>
                  <w:marTop w:val="0"/>
                  <w:marBottom w:val="0"/>
                  <w:divBdr>
                    <w:top w:val="none" w:sz="0" w:space="0" w:color="auto"/>
                    <w:left w:val="none" w:sz="0" w:space="0" w:color="auto"/>
                    <w:bottom w:val="none" w:sz="0" w:space="0" w:color="auto"/>
                    <w:right w:val="none" w:sz="0" w:space="0" w:color="auto"/>
                  </w:divBdr>
                  <w:divsChild>
                    <w:div w:id="1186627180">
                      <w:marLeft w:val="0"/>
                      <w:marRight w:val="0"/>
                      <w:marTop w:val="0"/>
                      <w:marBottom w:val="0"/>
                      <w:divBdr>
                        <w:top w:val="none" w:sz="0" w:space="0" w:color="auto"/>
                        <w:left w:val="none" w:sz="0" w:space="0" w:color="auto"/>
                        <w:bottom w:val="none" w:sz="0" w:space="0" w:color="auto"/>
                        <w:right w:val="none" w:sz="0" w:space="0" w:color="auto"/>
                      </w:divBdr>
                    </w:div>
                  </w:divsChild>
                </w:div>
                <w:div w:id="1001275307">
                  <w:marLeft w:val="0"/>
                  <w:marRight w:val="0"/>
                  <w:marTop w:val="0"/>
                  <w:marBottom w:val="0"/>
                  <w:divBdr>
                    <w:top w:val="none" w:sz="0" w:space="0" w:color="auto"/>
                    <w:left w:val="none" w:sz="0" w:space="0" w:color="auto"/>
                    <w:bottom w:val="none" w:sz="0" w:space="0" w:color="auto"/>
                    <w:right w:val="none" w:sz="0" w:space="0" w:color="auto"/>
                  </w:divBdr>
                  <w:divsChild>
                    <w:div w:id="1844398664">
                      <w:marLeft w:val="0"/>
                      <w:marRight w:val="0"/>
                      <w:marTop w:val="0"/>
                      <w:marBottom w:val="0"/>
                      <w:divBdr>
                        <w:top w:val="none" w:sz="0" w:space="0" w:color="auto"/>
                        <w:left w:val="none" w:sz="0" w:space="0" w:color="auto"/>
                        <w:bottom w:val="none" w:sz="0" w:space="0" w:color="auto"/>
                        <w:right w:val="none" w:sz="0" w:space="0" w:color="auto"/>
                      </w:divBdr>
                    </w:div>
                  </w:divsChild>
                </w:div>
                <w:div w:id="1141538142">
                  <w:marLeft w:val="0"/>
                  <w:marRight w:val="0"/>
                  <w:marTop w:val="0"/>
                  <w:marBottom w:val="0"/>
                  <w:divBdr>
                    <w:top w:val="none" w:sz="0" w:space="0" w:color="auto"/>
                    <w:left w:val="none" w:sz="0" w:space="0" w:color="auto"/>
                    <w:bottom w:val="none" w:sz="0" w:space="0" w:color="auto"/>
                    <w:right w:val="none" w:sz="0" w:space="0" w:color="auto"/>
                  </w:divBdr>
                  <w:divsChild>
                    <w:div w:id="652298310">
                      <w:marLeft w:val="0"/>
                      <w:marRight w:val="0"/>
                      <w:marTop w:val="0"/>
                      <w:marBottom w:val="0"/>
                      <w:divBdr>
                        <w:top w:val="none" w:sz="0" w:space="0" w:color="auto"/>
                        <w:left w:val="none" w:sz="0" w:space="0" w:color="auto"/>
                        <w:bottom w:val="none" w:sz="0" w:space="0" w:color="auto"/>
                        <w:right w:val="none" w:sz="0" w:space="0" w:color="auto"/>
                      </w:divBdr>
                    </w:div>
                  </w:divsChild>
                </w:div>
                <w:div w:id="2085949502">
                  <w:marLeft w:val="0"/>
                  <w:marRight w:val="0"/>
                  <w:marTop w:val="0"/>
                  <w:marBottom w:val="0"/>
                  <w:divBdr>
                    <w:top w:val="none" w:sz="0" w:space="0" w:color="auto"/>
                    <w:left w:val="none" w:sz="0" w:space="0" w:color="auto"/>
                    <w:bottom w:val="none" w:sz="0" w:space="0" w:color="auto"/>
                    <w:right w:val="none" w:sz="0" w:space="0" w:color="auto"/>
                  </w:divBdr>
                  <w:divsChild>
                    <w:div w:id="684594064">
                      <w:marLeft w:val="0"/>
                      <w:marRight w:val="0"/>
                      <w:marTop w:val="0"/>
                      <w:marBottom w:val="0"/>
                      <w:divBdr>
                        <w:top w:val="none" w:sz="0" w:space="0" w:color="auto"/>
                        <w:left w:val="none" w:sz="0" w:space="0" w:color="auto"/>
                        <w:bottom w:val="none" w:sz="0" w:space="0" w:color="auto"/>
                        <w:right w:val="none" w:sz="0" w:space="0" w:color="auto"/>
                      </w:divBdr>
                    </w:div>
                  </w:divsChild>
                </w:div>
                <w:div w:id="73478060">
                  <w:marLeft w:val="0"/>
                  <w:marRight w:val="0"/>
                  <w:marTop w:val="0"/>
                  <w:marBottom w:val="0"/>
                  <w:divBdr>
                    <w:top w:val="none" w:sz="0" w:space="0" w:color="auto"/>
                    <w:left w:val="none" w:sz="0" w:space="0" w:color="auto"/>
                    <w:bottom w:val="none" w:sz="0" w:space="0" w:color="auto"/>
                    <w:right w:val="none" w:sz="0" w:space="0" w:color="auto"/>
                  </w:divBdr>
                  <w:divsChild>
                    <w:div w:id="755321149">
                      <w:marLeft w:val="0"/>
                      <w:marRight w:val="0"/>
                      <w:marTop w:val="0"/>
                      <w:marBottom w:val="0"/>
                      <w:divBdr>
                        <w:top w:val="none" w:sz="0" w:space="0" w:color="auto"/>
                        <w:left w:val="none" w:sz="0" w:space="0" w:color="auto"/>
                        <w:bottom w:val="none" w:sz="0" w:space="0" w:color="auto"/>
                        <w:right w:val="none" w:sz="0" w:space="0" w:color="auto"/>
                      </w:divBdr>
                    </w:div>
                    <w:div w:id="1357392058">
                      <w:marLeft w:val="0"/>
                      <w:marRight w:val="0"/>
                      <w:marTop w:val="0"/>
                      <w:marBottom w:val="0"/>
                      <w:divBdr>
                        <w:top w:val="none" w:sz="0" w:space="0" w:color="auto"/>
                        <w:left w:val="none" w:sz="0" w:space="0" w:color="auto"/>
                        <w:bottom w:val="none" w:sz="0" w:space="0" w:color="auto"/>
                        <w:right w:val="none" w:sz="0" w:space="0" w:color="auto"/>
                      </w:divBdr>
                    </w:div>
                  </w:divsChild>
                </w:div>
                <w:div w:id="645160678">
                  <w:marLeft w:val="0"/>
                  <w:marRight w:val="0"/>
                  <w:marTop w:val="0"/>
                  <w:marBottom w:val="0"/>
                  <w:divBdr>
                    <w:top w:val="none" w:sz="0" w:space="0" w:color="auto"/>
                    <w:left w:val="none" w:sz="0" w:space="0" w:color="auto"/>
                    <w:bottom w:val="none" w:sz="0" w:space="0" w:color="auto"/>
                    <w:right w:val="none" w:sz="0" w:space="0" w:color="auto"/>
                  </w:divBdr>
                  <w:divsChild>
                    <w:div w:id="2027752014">
                      <w:marLeft w:val="0"/>
                      <w:marRight w:val="0"/>
                      <w:marTop w:val="0"/>
                      <w:marBottom w:val="0"/>
                      <w:divBdr>
                        <w:top w:val="none" w:sz="0" w:space="0" w:color="auto"/>
                        <w:left w:val="none" w:sz="0" w:space="0" w:color="auto"/>
                        <w:bottom w:val="none" w:sz="0" w:space="0" w:color="auto"/>
                        <w:right w:val="none" w:sz="0" w:space="0" w:color="auto"/>
                      </w:divBdr>
                    </w:div>
                    <w:div w:id="1607999558">
                      <w:marLeft w:val="0"/>
                      <w:marRight w:val="0"/>
                      <w:marTop w:val="0"/>
                      <w:marBottom w:val="0"/>
                      <w:divBdr>
                        <w:top w:val="none" w:sz="0" w:space="0" w:color="auto"/>
                        <w:left w:val="none" w:sz="0" w:space="0" w:color="auto"/>
                        <w:bottom w:val="none" w:sz="0" w:space="0" w:color="auto"/>
                        <w:right w:val="none" w:sz="0" w:space="0" w:color="auto"/>
                      </w:divBdr>
                    </w:div>
                  </w:divsChild>
                </w:div>
                <w:div w:id="775255586">
                  <w:marLeft w:val="0"/>
                  <w:marRight w:val="0"/>
                  <w:marTop w:val="0"/>
                  <w:marBottom w:val="0"/>
                  <w:divBdr>
                    <w:top w:val="none" w:sz="0" w:space="0" w:color="auto"/>
                    <w:left w:val="none" w:sz="0" w:space="0" w:color="auto"/>
                    <w:bottom w:val="none" w:sz="0" w:space="0" w:color="auto"/>
                    <w:right w:val="none" w:sz="0" w:space="0" w:color="auto"/>
                  </w:divBdr>
                  <w:divsChild>
                    <w:div w:id="1235777098">
                      <w:marLeft w:val="0"/>
                      <w:marRight w:val="0"/>
                      <w:marTop w:val="0"/>
                      <w:marBottom w:val="0"/>
                      <w:divBdr>
                        <w:top w:val="none" w:sz="0" w:space="0" w:color="auto"/>
                        <w:left w:val="none" w:sz="0" w:space="0" w:color="auto"/>
                        <w:bottom w:val="none" w:sz="0" w:space="0" w:color="auto"/>
                        <w:right w:val="none" w:sz="0" w:space="0" w:color="auto"/>
                      </w:divBdr>
                    </w:div>
                  </w:divsChild>
                </w:div>
                <w:div w:id="1002316571">
                  <w:marLeft w:val="0"/>
                  <w:marRight w:val="0"/>
                  <w:marTop w:val="0"/>
                  <w:marBottom w:val="0"/>
                  <w:divBdr>
                    <w:top w:val="none" w:sz="0" w:space="0" w:color="auto"/>
                    <w:left w:val="none" w:sz="0" w:space="0" w:color="auto"/>
                    <w:bottom w:val="none" w:sz="0" w:space="0" w:color="auto"/>
                    <w:right w:val="none" w:sz="0" w:space="0" w:color="auto"/>
                  </w:divBdr>
                  <w:divsChild>
                    <w:div w:id="657265376">
                      <w:marLeft w:val="0"/>
                      <w:marRight w:val="0"/>
                      <w:marTop w:val="0"/>
                      <w:marBottom w:val="0"/>
                      <w:divBdr>
                        <w:top w:val="none" w:sz="0" w:space="0" w:color="auto"/>
                        <w:left w:val="none" w:sz="0" w:space="0" w:color="auto"/>
                        <w:bottom w:val="none" w:sz="0" w:space="0" w:color="auto"/>
                        <w:right w:val="none" w:sz="0" w:space="0" w:color="auto"/>
                      </w:divBdr>
                    </w:div>
                  </w:divsChild>
                </w:div>
                <w:div w:id="574977289">
                  <w:marLeft w:val="0"/>
                  <w:marRight w:val="0"/>
                  <w:marTop w:val="0"/>
                  <w:marBottom w:val="0"/>
                  <w:divBdr>
                    <w:top w:val="none" w:sz="0" w:space="0" w:color="auto"/>
                    <w:left w:val="none" w:sz="0" w:space="0" w:color="auto"/>
                    <w:bottom w:val="none" w:sz="0" w:space="0" w:color="auto"/>
                    <w:right w:val="none" w:sz="0" w:space="0" w:color="auto"/>
                  </w:divBdr>
                  <w:divsChild>
                    <w:div w:id="1392650554">
                      <w:marLeft w:val="0"/>
                      <w:marRight w:val="0"/>
                      <w:marTop w:val="0"/>
                      <w:marBottom w:val="0"/>
                      <w:divBdr>
                        <w:top w:val="none" w:sz="0" w:space="0" w:color="auto"/>
                        <w:left w:val="none" w:sz="0" w:space="0" w:color="auto"/>
                        <w:bottom w:val="none" w:sz="0" w:space="0" w:color="auto"/>
                        <w:right w:val="none" w:sz="0" w:space="0" w:color="auto"/>
                      </w:divBdr>
                    </w:div>
                  </w:divsChild>
                </w:div>
                <w:div w:id="1966085781">
                  <w:marLeft w:val="0"/>
                  <w:marRight w:val="0"/>
                  <w:marTop w:val="0"/>
                  <w:marBottom w:val="0"/>
                  <w:divBdr>
                    <w:top w:val="none" w:sz="0" w:space="0" w:color="auto"/>
                    <w:left w:val="none" w:sz="0" w:space="0" w:color="auto"/>
                    <w:bottom w:val="none" w:sz="0" w:space="0" w:color="auto"/>
                    <w:right w:val="none" w:sz="0" w:space="0" w:color="auto"/>
                  </w:divBdr>
                  <w:divsChild>
                    <w:div w:id="2052612976">
                      <w:marLeft w:val="0"/>
                      <w:marRight w:val="0"/>
                      <w:marTop w:val="0"/>
                      <w:marBottom w:val="0"/>
                      <w:divBdr>
                        <w:top w:val="none" w:sz="0" w:space="0" w:color="auto"/>
                        <w:left w:val="none" w:sz="0" w:space="0" w:color="auto"/>
                        <w:bottom w:val="none" w:sz="0" w:space="0" w:color="auto"/>
                        <w:right w:val="none" w:sz="0" w:space="0" w:color="auto"/>
                      </w:divBdr>
                    </w:div>
                  </w:divsChild>
                </w:div>
                <w:div w:id="1312565062">
                  <w:marLeft w:val="0"/>
                  <w:marRight w:val="0"/>
                  <w:marTop w:val="0"/>
                  <w:marBottom w:val="0"/>
                  <w:divBdr>
                    <w:top w:val="none" w:sz="0" w:space="0" w:color="auto"/>
                    <w:left w:val="none" w:sz="0" w:space="0" w:color="auto"/>
                    <w:bottom w:val="none" w:sz="0" w:space="0" w:color="auto"/>
                    <w:right w:val="none" w:sz="0" w:space="0" w:color="auto"/>
                  </w:divBdr>
                  <w:divsChild>
                    <w:div w:id="1902447844">
                      <w:marLeft w:val="0"/>
                      <w:marRight w:val="0"/>
                      <w:marTop w:val="0"/>
                      <w:marBottom w:val="0"/>
                      <w:divBdr>
                        <w:top w:val="none" w:sz="0" w:space="0" w:color="auto"/>
                        <w:left w:val="none" w:sz="0" w:space="0" w:color="auto"/>
                        <w:bottom w:val="none" w:sz="0" w:space="0" w:color="auto"/>
                        <w:right w:val="none" w:sz="0" w:space="0" w:color="auto"/>
                      </w:divBdr>
                    </w:div>
                    <w:div w:id="110128925">
                      <w:marLeft w:val="0"/>
                      <w:marRight w:val="0"/>
                      <w:marTop w:val="0"/>
                      <w:marBottom w:val="0"/>
                      <w:divBdr>
                        <w:top w:val="none" w:sz="0" w:space="0" w:color="auto"/>
                        <w:left w:val="none" w:sz="0" w:space="0" w:color="auto"/>
                        <w:bottom w:val="none" w:sz="0" w:space="0" w:color="auto"/>
                        <w:right w:val="none" w:sz="0" w:space="0" w:color="auto"/>
                      </w:divBdr>
                    </w:div>
                  </w:divsChild>
                </w:div>
                <w:div w:id="616956858">
                  <w:marLeft w:val="0"/>
                  <w:marRight w:val="0"/>
                  <w:marTop w:val="0"/>
                  <w:marBottom w:val="0"/>
                  <w:divBdr>
                    <w:top w:val="none" w:sz="0" w:space="0" w:color="auto"/>
                    <w:left w:val="none" w:sz="0" w:space="0" w:color="auto"/>
                    <w:bottom w:val="none" w:sz="0" w:space="0" w:color="auto"/>
                    <w:right w:val="none" w:sz="0" w:space="0" w:color="auto"/>
                  </w:divBdr>
                  <w:divsChild>
                    <w:div w:id="1019964458">
                      <w:marLeft w:val="0"/>
                      <w:marRight w:val="0"/>
                      <w:marTop w:val="0"/>
                      <w:marBottom w:val="0"/>
                      <w:divBdr>
                        <w:top w:val="none" w:sz="0" w:space="0" w:color="auto"/>
                        <w:left w:val="none" w:sz="0" w:space="0" w:color="auto"/>
                        <w:bottom w:val="none" w:sz="0" w:space="0" w:color="auto"/>
                        <w:right w:val="none" w:sz="0" w:space="0" w:color="auto"/>
                      </w:divBdr>
                    </w:div>
                    <w:div w:id="1058555126">
                      <w:marLeft w:val="0"/>
                      <w:marRight w:val="0"/>
                      <w:marTop w:val="0"/>
                      <w:marBottom w:val="0"/>
                      <w:divBdr>
                        <w:top w:val="none" w:sz="0" w:space="0" w:color="auto"/>
                        <w:left w:val="none" w:sz="0" w:space="0" w:color="auto"/>
                        <w:bottom w:val="none" w:sz="0" w:space="0" w:color="auto"/>
                        <w:right w:val="none" w:sz="0" w:space="0" w:color="auto"/>
                      </w:divBdr>
                    </w:div>
                  </w:divsChild>
                </w:div>
                <w:div w:id="857504454">
                  <w:marLeft w:val="0"/>
                  <w:marRight w:val="0"/>
                  <w:marTop w:val="0"/>
                  <w:marBottom w:val="0"/>
                  <w:divBdr>
                    <w:top w:val="none" w:sz="0" w:space="0" w:color="auto"/>
                    <w:left w:val="none" w:sz="0" w:space="0" w:color="auto"/>
                    <w:bottom w:val="none" w:sz="0" w:space="0" w:color="auto"/>
                    <w:right w:val="none" w:sz="0" w:space="0" w:color="auto"/>
                  </w:divBdr>
                  <w:divsChild>
                    <w:div w:id="1913805588">
                      <w:marLeft w:val="0"/>
                      <w:marRight w:val="0"/>
                      <w:marTop w:val="0"/>
                      <w:marBottom w:val="0"/>
                      <w:divBdr>
                        <w:top w:val="none" w:sz="0" w:space="0" w:color="auto"/>
                        <w:left w:val="none" w:sz="0" w:space="0" w:color="auto"/>
                        <w:bottom w:val="none" w:sz="0" w:space="0" w:color="auto"/>
                        <w:right w:val="none" w:sz="0" w:space="0" w:color="auto"/>
                      </w:divBdr>
                    </w:div>
                  </w:divsChild>
                </w:div>
                <w:div w:id="1756591091">
                  <w:marLeft w:val="0"/>
                  <w:marRight w:val="0"/>
                  <w:marTop w:val="0"/>
                  <w:marBottom w:val="0"/>
                  <w:divBdr>
                    <w:top w:val="none" w:sz="0" w:space="0" w:color="auto"/>
                    <w:left w:val="none" w:sz="0" w:space="0" w:color="auto"/>
                    <w:bottom w:val="none" w:sz="0" w:space="0" w:color="auto"/>
                    <w:right w:val="none" w:sz="0" w:space="0" w:color="auto"/>
                  </w:divBdr>
                  <w:divsChild>
                    <w:div w:id="939143951">
                      <w:marLeft w:val="0"/>
                      <w:marRight w:val="0"/>
                      <w:marTop w:val="0"/>
                      <w:marBottom w:val="0"/>
                      <w:divBdr>
                        <w:top w:val="none" w:sz="0" w:space="0" w:color="auto"/>
                        <w:left w:val="none" w:sz="0" w:space="0" w:color="auto"/>
                        <w:bottom w:val="none" w:sz="0" w:space="0" w:color="auto"/>
                        <w:right w:val="none" w:sz="0" w:space="0" w:color="auto"/>
                      </w:divBdr>
                    </w:div>
                    <w:div w:id="1553535367">
                      <w:marLeft w:val="0"/>
                      <w:marRight w:val="0"/>
                      <w:marTop w:val="0"/>
                      <w:marBottom w:val="0"/>
                      <w:divBdr>
                        <w:top w:val="none" w:sz="0" w:space="0" w:color="auto"/>
                        <w:left w:val="none" w:sz="0" w:space="0" w:color="auto"/>
                        <w:bottom w:val="none" w:sz="0" w:space="0" w:color="auto"/>
                        <w:right w:val="none" w:sz="0" w:space="0" w:color="auto"/>
                      </w:divBdr>
                    </w:div>
                  </w:divsChild>
                </w:div>
                <w:div w:id="1399130927">
                  <w:marLeft w:val="0"/>
                  <w:marRight w:val="0"/>
                  <w:marTop w:val="0"/>
                  <w:marBottom w:val="0"/>
                  <w:divBdr>
                    <w:top w:val="none" w:sz="0" w:space="0" w:color="auto"/>
                    <w:left w:val="none" w:sz="0" w:space="0" w:color="auto"/>
                    <w:bottom w:val="none" w:sz="0" w:space="0" w:color="auto"/>
                    <w:right w:val="none" w:sz="0" w:space="0" w:color="auto"/>
                  </w:divBdr>
                  <w:divsChild>
                    <w:div w:id="1283463169">
                      <w:marLeft w:val="0"/>
                      <w:marRight w:val="0"/>
                      <w:marTop w:val="0"/>
                      <w:marBottom w:val="0"/>
                      <w:divBdr>
                        <w:top w:val="none" w:sz="0" w:space="0" w:color="auto"/>
                        <w:left w:val="none" w:sz="0" w:space="0" w:color="auto"/>
                        <w:bottom w:val="none" w:sz="0" w:space="0" w:color="auto"/>
                        <w:right w:val="none" w:sz="0" w:space="0" w:color="auto"/>
                      </w:divBdr>
                    </w:div>
                    <w:div w:id="1891575242">
                      <w:marLeft w:val="0"/>
                      <w:marRight w:val="0"/>
                      <w:marTop w:val="0"/>
                      <w:marBottom w:val="0"/>
                      <w:divBdr>
                        <w:top w:val="none" w:sz="0" w:space="0" w:color="auto"/>
                        <w:left w:val="none" w:sz="0" w:space="0" w:color="auto"/>
                        <w:bottom w:val="none" w:sz="0" w:space="0" w:color="auto"/>
                        <w:right w:val="none" w:sz="0" w:space="0" w:color="auto"/>
                      </w:divBdr>
                    </w:div>
                  </w:divsChild>
                </w:div>
                <w:div w:id="560596856">
                  <w:marLeft w:val="0"/>
                  <w:marRight w:val="0"/>
                  <w:marTop w:val="0"/>
                  <w:marBottom w:val="0"/>
                  <w:divBdr>
                    <w:top w:val="none" w:sz="0" w:space="0" w:color="auto"/>
                    <w:left w:val="none" w:sz="0" w:space="0" w:color="auto"/>
                    <w:bottom w:val="none" w:sz="0" w:space="0" w:color="auto"/>
                    <w:right w:val="none" w:sz="0" w:space="0" w:color="auto"/>
                  </w:divBdr>
                  <w:divsChild>
                    <w:div w:id="97532222">
                      <w:marLeft w:val="0"/>
                      <w:marRight w:val="0"/>
                      <w:marTop w:val="0"/>
                      <w:marBottom w:val="0"/>
                      <w:divBdr>
                        <w:top w:val="none" w:sz="0" w:space="0" w:color="auto"/>
                        <w:left w:val="none" w:sz="0" w:space="0" w:color="auto"/>
                        <w:bottom w:val="none" w:sz="0" w:space="0" w:color="auto"/>
                        <w:right w:val="none" w:sz="0" w:space="0" w:color="auto"/>
                      </w:divBdr>
                    </w:div>
                  </w:divsChild>
                </w:div>
                <w:div w:id="712077288">
                  <w:marLeft w:val="0"/>
                  <w:marRight w:val="0"/>
                  <w:marTop w:val="0"/>
                  <w:marBottom w:val="0"/>
                  <w:divBdr>
                    <w:top w:val="none" w:sz="0" w:space="0" w:color="auto"/>
                    <w:left w:val="none" w:sz="0" w:space="0" w:color="auto"/>
                    <w:bottom w:val="none" w:sz="0" w:space="0" w:color="auto"/>
                    <w:right w:val="none" w:sz="0" w:space="0" w:color="auto"/>
                  </w:divBdr>
                  <w:divsChild>
                    <w:div w:id="2109695027">
                      <w:marLeft w:val="0"/>
                      <w:marRight w:val="0"/>
                      <w:marTop w:val="0"/>
                      <w:marBottom w:val="0"/>
                      <w:divBdr>
                        <w:top w:val="none" w:sz="0" w:space="0" w:color="auto"/>
                        <w:left w:val="none" w:sz="0" w:space="0" w:color="auto"/>
                        <w:bottom w:val="none" w:sz="0" w:space="0" w:color="auto"/>
                        <w:right w:val="none" w:sz="0" w:space="0" w:color="auto"/>
                      </w:divBdr>
                    </w:div>
                  </w:divsChild>
                </w:div>
                <w:div w:id="913514054">
                  <w:marLeft w:val="0"/>
                  <w:marRight w:val="0"/>
                  <w:marTop w:val="0"/>
                  <w:marBottom w:val="0"/>
                  <w:divBdr>
                    <w:top w:val="none" w:sz="0" w:space="0" w:color="auto"/>
                    <w:left w:val="none" w:sz="0" w:space="0" w:color="auto"/>
                    <w:bottom w:val="none" w:sz="0" w:space="0" w:color="auto"/>
                    <w:right w:val="none" w:sz="0" w:space="0" w:color="auto"/>
                  </w:divBdr>
                  <w:divsChild>
                    <w:div w:id="1006205538">
                      <w:marLeft w:val="0"/>
                      <w:marRight w:val="0"/>
                      <w:marTop w:val="0"/>
                      <w:marBottom w:val="0"/>
                      <w:divBdr>
                        <w:top w:val="none" w:sz="0" w:space="0" w:color="auto"/>
                        <w:left w:val="none" w:sz="0" w:space="0" w:color="auto"/>
                        <w:bottom w:val="none" w:sz="0" w:space="0" w:color="auto"/>
                        <w:right w:val="none" w:sz="0" w:space="0" w:color="auto"/>
                      </w:divBdr>
                    </w:div>
                  </w:divsChild>
                </w:div>
                <w:div w:id="140269640">
                  <w:marLeft w:val="0"/>
                  <w:marRight w:val="0"/>
                  <w:marTop w:val="0"/>
                  <w:marBottom w:val="0"/>
                  <w:divBdr>
                    <w:top w:val="none" w:sz="0" w:space="0" w:color="auto"/>
                    <w:left w:val="none" w:sz="0" w:space="0" w:color="auto"/>
                    <w:bottom w:val="none" w:sz="0" w:space="0" w:color="auto"/>
                    <w:right w:val="none" w:sz="0" w:space="0" w:color="auto"/>
                  </w:divBdr>
                  <w:divsChild>
                    <w:div w:id="1896811077">
                      <w:marLeft w:val="0"/>
                      <w:marRight w:val="0"/>
                      <w:marTop w:val="0"/>
                      <w:marBottom w:val="0"/>
                      <w:divBdr>
                        <w:top w:val="none" w:sz="0" w:space="0" w:color="auto"/>
                        <w:left w:val="none" w:sz="0" w:space="0" w:color="auto"/>
                        <w:bottom w:val="none" w:sz="0" w:space="0" w:color="auto"/>
                        <w:right w:val="none" w:sz="0" w:space="0" w:color="auto"/>
                      </w:divBdr>
                    </w:div>
                  </w:divsChild>
                </w:div>
                <w:div w:id="1932811914">
                  <w:marLeft w:val="0"/>
                  <w:marRight w:val="0"/>
                  <w:marTop w:val="0"/>
                  <w:marBottom w:val="0"/>
                  <w:divBdr>
                    <w:top w:val="none" w:sz="0" w:space="0" w:color="auto"/>
                    <w:left w:val="none" w:sz="0" w:space="0" w:color="auto"/>
                    <w:bottom w:val="none" w:sz="0" w:space="0" w:color="auto"/>
                    <w:right w:val="none" w:sz="0" w:space="0" w:color="auto"/>
                  </w:divBdr>
                  <w:divsChild>
                    <w:div w:id="1613588043">
                      <w:marLeft w:val="0"/>
                      <w:marRight w:val="0"/>
                      <w:marTop w:val="0"/>
                      <w:marBottom w:val="0"/>
                      <w:divBdr>
                        <w:top w:val="none" w:sz="0" w:space="0" w:color="auto"/>
                        <w:left w:val="none" w:sz="0" w:space="0" w:color="auto"/>
                        <w:bottom w:val="none" w:sz="0" w:space="0" w:color="auto"/>
                        <w:right w:val="none" w:sz="0" w:space="0" w:color="auto"/>
                      </w:divBdr>
                    </w:div>
                  </w:divsChild>
                </w:div>
                <w:div w:id="454712818">
                  <w:marLeft w:val="0"/>
                  <w:marRight w:val="0"/>
                  <w:marTop w:val="0"/>
                  <w:marBottom w:val="0"/>
                  <w:divBdr>
                    <w:top w:val="none" w:sz="0" w:space="0" w:color="auto"/>
                    <w:left w:val="none" w:sz="0" w:space="0" w:color="auto"/>
                    <w:bottom w:val="none" w:sz="0" w:space="0" w:color="auto"/>
                    <w:right w:val="none" w:sz="0" w:space="0" w:color="auto"/>
                  </w:divBdr>
                  <w:divsChild>
                    <w:div w:id="1828552513">
                      <w:marLeft w:val="0"/>
                      <w:marRight w:val="0"/>
                      <w:marTop w:val="0"/>
                      <w:marBottom w:val="0"/>
                      <w:divBdr>
                        <w:top w:val="none" w:sz="0" w:space="0" w:color="auto"/>
                        <w:left w:val="none" w:sz="0" w:space="0" w:color="auto"/>
                        <w:bottom w:val="none" w:sz="0" w:space="0" w:color="auto"/>
                        <w:right w:val="none" w:sz="0" w:space="0" w:color="auto"/>
                      </w:divBdr>
                    </w:div>
                  </w:divsChild>
                </w:div>
                <w:div w:id="1419789520">
                  <w:marLeft w:val="0"/>
                  <w:marRight w:val="0"/>
                  <w:marTop w:val="0"/>
                  <w:marBottom w:val="0"/>
                  <w:divBdr>
                    <w:top w:val="none" w:sz="0" w:space="0" w:color="auto"/>
                    <w:left w:val="none" w:sz="0" w:space="0" w:color="auto"/>
                    <w:bottom w:val="none" w:sz="0" w:space="0" w:color="auto"/>
                    <w:right w:val="none" w:sz="0" w:space="0" w:color="auto"/>
                  </w:divBdr>
                  <w:divsChild>
                    <w:div w:id="1090543501">
                      <w:marLeft w:val="0"/>
                      <w:marRight w:val="0"/>
                      <w:marTop w:val="0"/>
                      <w:marBottom w:val="0"/>
                      <w:divBdr>
                        <w:top w:val="none" w:sz="0" w:space="0" w:color="auto"/>
                        <w:left w:val="none" w:sz="0" w:space="0" w:color="auto"/>
                        <w:bottom w:val="none" w:sz="0" w:space="0" w:color="auto"/>
                        <w:right w:val="none" w:sz="0" w:space="0" w:color="auto"/>
                      </w:divBdr>
                    </w:div>
                  </w:divsChild>
                </w:div>
                <w:div w:id="1568492729">
                  <w:marLeft w:val="0"/>
                  <w:marRight w:val="0"/>
                  <w:marTop w:val="0"/>
                  <w:marBottom w:val="0"/>
                  <w:divBdr>
                    <w:top w:val="none" w:sz="0" w:space="0" w:color="auto"/>
                    <w:left w:val="none" w:sz="0" w:space="0" w:color="auto"/>
                    <w:bottom w:val="none" w:sz="0" w:space="0" w:color="auto"/>
                    <w:right w:val="none" w:sz="0" w:space="0" w:color="auto"/>
                  </w:divBdr>
                  <w:divsChild>
                    <w:div w:id="1886021184">
                      <w:marLeft w:val="0"/>
                      <w:marRight w:val="0"/>
                      <w:marTop w:val="0"/>
                      <w:marBottom w:val="0"/>
                      <w:divBdr>
                        <w:top w:val="none" w:sz="0" w:space="0" w:color="auto"/>
                        <w:left w:val="none" w:sz="0" w:space="0" w:color="auto"/>
                        <w:bottom w:val="none" w:sz="0" w:space="0" w:color="auto"/>
                        <w:right w:val="none" w:sz="0" w:space="0" w:color="auto"/>
                      </w:divBdr>
                    </w:div>
                  </w:divsChild>
                </w:div>
                <w:div w:id="65760825">
                  <w:marLeft w:val="0"/>
                  <w:marRight w:val="0"/>
                  <w:marTop w:val="0"/>
                  <w:marBottom w:val="0"/>
                  <w:divBdr>
                    <w:top w:val="none" w:sz="0" w:space="0" w:color="auto"/>
                    <w:left w:val="none" w:sz="0" w:space="0" w:color="auto"/>
                    <w:bottom w:val="none" w:sz="0" w:space="0" w:color="auto"/>
                    <w:right w:val="none" w:sz="0" w:space="0" w:color="auto"/>
                  </w:divBdr>
                  <w:divsChild>
                    <w:div w:id="1683510615">
                      <w:marLeft w:val="0"/>
                      <w:marRight w:val="0"/>
                      <w:marTop w:val="0"/>
                      <w:marBottom w:val="0"/>
                      <w:divBdr>
                        <w:top w:val="none" w:sz="0" w:space="0" w:color="auto"/>
                        <w:left w:val="none" w:sz="0" w:space="0" w:color="auto"/>
                        <w:bottom w:val="none" w:sz="0" w:space="0" w:color="auto"/>
                        <w:right w:val="none" w:sz="0" w:space="0" w:color="auto"/>
                      </w:divBdr>
                    </w:div>
                  </w:divsChild>
                </w:div>
                <w:div w:id="1607611918">
                  <w:marLeft w:val="0"/>
                  <w:marRight w:val="0"/>
                  <w:marTop w:val="0"/>
                  <w:marBottom w:val="0"/>
                  <w:divBdr>
                    <w:top w:val="none" w:sz="0" w:space="0" w:color="auto"/>
                    <w:left w:val="none" w:sz="0" w:space="0" w:color="auto"/>
                    <w:bottom w:val="none" w:sz="0" w:space="0" w:color="auto"/>
                    <w:right w:val="none" w:sz="0" w:space="0" w:color="auto"/>
                  </w:divBdr>
                  <w:divsChild>
                    <w:div w:id="925652130">
                      <w:marLeft w:val="0"/>
                      <w:marRight w:val="0"/>
                      <w:marTop w:val="0"/>
                      <w:marBottom w:val="0"/>
                      <w:divBdr>
                        <w:top w:val="none" w:sz="0" w:space="0" w:color="auto"/>
                        <w:left w:val="none" w:sz="0" w:space="0" w:color="auto"/>
                        <w:bottom w:val="none" w:sz="0" w:space="0" w:color="auto"/>
                        <w:right w:val="none" w:sz="0" w:space="0" w:color="auto"/>
                      </w:divBdr>
                    </w:div>
                  </w:divsChild>
                </w:div>
                <w:div w:id="1700355389">
                  <w:marLeft w:val="0"/>
                  <w:marRight w:val="0"/>
                  <w:marTop w:val="0"/>
                  <w:marBottom w:val="0"/>
                  <w:divBdr>
                    <w:top w:val="none" w:sz="0" w:space="0" w:color="auto"/>
                    <w:left w:val="none" w:sz="0" w:space="0" w:color="auto"/>
                    <w:bottom w:val="none" w:sz="0" w:space="0" w:color="auto"/>
                    <w:right w:val="none" w:sz="0" w:space="0" w:color="auto"/>
                  </w:divBdr>
                  <w:divsChild>
                    <w:div w:id="1175728274">
                      <w:marLeft w:val="0"/>
                      <w:marRight w:val="0"/>
                      <w:marTop w:val="0"/>
                      <w:marBottom w:val="0"/>
                      <w:divBdr>
                        <w:top w:val="none" w:sz="0" w:space="0" w:color="auto"/>
                        <w:left w:val="none" w:sz="0" w:space="0" w:color="auto"/>
                        <w:bottom w:val="none" w:sz="0" w:space="0" w:color="auto"/>
                        <w:right w:val="none" w:sz="0" w:space="0" w:color="auto"/>
                      </w:divBdr>
                    </w:div>
                  </w:divsChild>
                </w:div>
                <w:div w:id="1366901731">
                  <w:marLeft w:val="0"/>
                  <w:marRight w:val="0"/>
                  <w:marTop w:val="0"/>
                  <w:marBottom w:val="0"/>
                  <w:divBdr>
                    <w:top w:val="none" w:sz="0" w:space="0" w:color="auto"/>
                    <w:left w:val="none" w:sz="0" w:space="0" w:color="auto"/>
                    <w:bottom w:val="none" w:sz="0" w:space="0" w:color="auto"/>
                    <w:right w:val="none" w:sz="0" w:space="0" w:color="auto"/>
                  </w:divBdr>
                  <w:divsChild>
                    <w:div w:id="561061959">
                      <w:marLeft w:val="0"/>
                      <w:marRight w:val="0"/>
                      <w:marTop w:val="0"/>
                      <w:marBottom w:val="0"/>
                      <w:divBdr>
                        <w:top w:val="none" w:sz="0" w:space="0" w:color="auto"/>
                        <w:left w:val="none" w:sz="0" w:space="0" w:color="auto"/>
                        <w:bottom w:val="none" w:sz="0" w:space="0" w:color="auto"/>
                        <w:right w:val="none" w:sz="0" w:space="0" w:color="auto"/>
                      </w:divBdr>
                    </w:div>
                  </w:divsChild>
                </w:div>
                <w:div w:id="154154769">
                  <w:marLeft w:val="0"/>
                  <w:marRight w:val="0"/>
                  <w:marTop w:val="0"/>
                  <w:marBottom w:val="0"/>
                  <w:divBdr>
                    <w:top w:val="none" w:sz="0" w:space="0" w:color="auto"/>
                    <w:left w:val="none" w:sz="0" w:space="0" w:color="auto"/>
                    <w:bottom w:val="none" w:sz="0" w:space="0" w:color="auto"/>
                    <w:right w:val="none" w:sz="0" w:space="0" w:color="auto"/>
                  </w:divBdr>
                  <w:divsChild>
                    <w:div w:id="1766614617">
                      <w:marLeft w:val="0"/>
                      <w:marRight w:val="0"/>
                      <w:marTop w:val="0"/>
                      <w:marBottom w:val="0"/>
                      <w:divBdr>
                        <w:top w:val="none" w:sz="0" w:space="0" w:color="auto"/>
                        <w:left w:val="none" w:sz="0" w:space="0" w:color="auto"/>
                        <w:bottom w:val="none" w:sz="0" w:space="0" w:color="auto"/>
                        <w:right w:val="none" w:sz="0" w:space="0" w:color="auto"/>
                      </w:divBdr>
                    </w:div>
                  </w:divsChild>
                </w:div>
                <w:div w:id="448594096">
                  <w:marLeft w:val="0"/>
                  <w:marRight w:val="0"/>
                  <w:marTop w:val="0"/>
                  <w:marBottom w:val="0"/>
                  <w:divBdr>
                    <w:top w:val="none" w:sz="0" w:space="0" w:color="auto"/>
                    <w:left w:val="none" w:sz="0" w:space="0" w:color="auto"/>
                    <w:bottom w:val="none" w:sz="0" w:space="0" w:color="auto"/>
                    <w:right w:val="none" w:sz="0" w:space="0" w:color="auto"/>
                  </w:divBdr>
                  <w:divsChild>
                    <w:div w:id="766580728">
                      <w:marLeft w:val="0"/>
                      <w:marRight w:val="0"/>
                      <w:marTop w:val="0"/>
                      <w:marBottom w:val="0"/>
                      <w:divBdr>
                        <w:top w:val="none" w:sz="0" w:space="0" w:color="auto"/>
                        <w:left w:val="none" w:sz="0" w:space="0" w:color="auto"/>
                        <w:bottom w:val="none" w:sz="0" w:space="0" w:color="auto"/>
                        <w:right w:val="none" w:sz="0" w:space="0" w:color="auto"/>
                      </w:divBdr>
                    </w:div>
                  </w:divsChild>
                </w:div>
                <w:div w:id="750930887">
                  <w:marLeft w:val="0"/>
                  <w:marRight w:val="0"/>
                  <w:marTop w:val="0"/>
                  <w:marBottom w:val="0"/>
                  <w:divBdr>
                    <w:top w:val="none" w:sz="0" w:space="0" w:color="auto"/>
                    <w:left w:val="none" w:sz="0" w:space="0" w:color="auto"/>
                    <w:bottom w:val="none" w:sz="0" w:space="0" w:color="auto"/>
                    <w:right w:val="none" w:sz="0" w:space="0" w:color="auto"/>
                  </w:divBdr>
                  <w:divsChild>
                    <w:div w:id="1440291589">
                      <w:marLeft w:val="0"/>
                      <w:marRight w:val="0"/>
                      <w:marTop w:val="0"/>
                      <w:marBottom w:val="0"/>
                      <w:divBdr>
                        <w:top w:val="none" w:sz="0" w:space="0" w:color="auto"/>
                        <w:left w:val="none" w:sz="0" w:space="0" w:color="auto"/>
                        <w:bottom w:val="none" w:sz="0" w:space="0" w:color="auto"/>
                        <w:right w:val="none" w:sz="0" w:space="0" w:color="auto"/>
                      </w:divBdr>
                    </w:div>
                  </w:divsChild>
                </w:div>
                <w:div w:id="977959228">
                  <w:marLeft w:val="0"/>
                  <w:marRight w:val="0"/>
                  <w:marTop w:val="0"/>
                  <w:marBottom w:val="0"/>
                  <w:divBdr>
                    <w:top w:val="none" w:sz="0" w:space="0" w:color="auto"/>
                    <w:left w:val="none" w:sz="0" w:space="0" w:color="auto"/>
                    <w:bottom w:val="none" w:sz="0" w:space="0" w:color="auto"/>
                    <w:right w:val="none" w:sz="0" w:space="0" w:color="auto"/>
                  </w:divBdr>
                  <w:divsChild>
                    <w:div w:id="959797646">
                      <w:marLeft w:val="0"/>
                      <w:marRight w:val="0"/>
                      <w:marTop w:val="0"/>
                      <w:marBottom w:val="0"/>
                      <w:divBdr>
                        <w:top w:val="none" w:sz="0" w:space="0" w:color="auto"/>
                        <w:left w:val="none" w:sz="0" w:space="0" w:color="auto"/>
                        <w:bottom w:val="none" w:sz="0" w:space="0" w:color="auto"/>
                        <w:right w:val="none" w:sz="0" w:space="0" w:color="auto"/>
                      </w:divBdr>
                    </w:div>
                  </w:divsChild>
                </w:div>
                <w:div w:id="2119132273">
                  <w:marLeft w:val="0"/>
                  <w:marRight w:val="0"/>
                  <w:marTop w:val="0"/>
                  <w:marBottom w:val="0"/>
                  <w:divBdr>
                    <w:top w:val="none" w:sz="0" w:space="0" w:color="auto"/>
                    <w:left w:val="none" w:sz="0" w:space="0" w:color="auto"/>
                    <w:bottom w:val="none" w:sz="0" w:space="0" w:color="auto"/>
                    <w:right w:val="none" w:sz="0" w:space="0" w:color="auto"/>
                  </w:divBdr>
                  <w:divsChild>
                    <w:div w:id="402218140">
                      <w:marLeft w:val="0"/>
                      <w:marRight w:val="0"/>
                      <w:marTop w:val="0"/>
                      <w:marBottom w:val="0"/>
                      <w:divBdr>
                        <w:top w:val="none" w:sz="0" w:space="0" w:color="auto"/>
                        <w:left w:val="none" w:sz="0" w:space="0" w:color="auto"/>
                        <w:bottom w:val="none" w:sz="0" w:space="0" w:color="auto"/>
                        <w:right w:val="none" w:sz="0" w:space="0" w:color="auto"/>
                      </w:divBdr>
                    </w:div>
                  </w:divsChild>
                </w:div>
                <w:div w:id="1886873016">
                  <w:marLeft w:val="0"/>
                  <w:marRight w:val="0"/>
                  <w:marTop w:val="0"/>
                  <w:marBottom w:val="0"/>
                  <w:divBdr>
                    <w:top w:val="none" w:sz="0" w:space="0" w:color="auto"/>
                    <w:left w:val="none" w:sz="0" w:space="0" w:color="auto"/>
                    <w:bottom w:val="none" w:sz="0" w:space="0" w:color="auto"/>
                    <w:right w:val="none" w:sz="0" w:space="0" w:color="auto"/>
                  </w:divBdr>
                  <w:divsChild>
                    <w:div w:id="2075658677">
                      <w:marLeft w:val="0"/>
                      <w:marRight w:val="0"/>
                      <w:marTop w:val="0"/>
                      <w:marBottom w:val="0"/>
                      <w:divBdr>
                        <w:top w:val="none" w:sz="0" w:space="0" w:color="auto"/>
                        <w:left w:val="none" w:sz="0" w:space="0" w:color="auto"/>
                        <w:bottom w:val="none" w:sz="0" w:space="0" w:color="auto"/>
                        <w:right w:val="none" w:sz="0" w:space="0" w:color="auto"/>
                      </w:divBdr>
                    </w:div>
                  </w:divsChild>
                </w:div>
                <w:div w:id="68817184">
                  <w:marLeft w:val="0"/>
                  <w:marRight w:val="0"/>
                  <w:marTop w:val="0"/>
                  <w:marBottom w:val="0"/>
                  <w:divBdr>
                    <w:top w:val="none" w:sz="0" w:space="0" w:color="auto"/>
                    <w:left w:val="none" w:sz="0" w:space="0" w:color="auto"/>
                    <w:bottom w:val="none" w:sz="0" w:space="0" w:color="auto"/>
                    <w:right w:val="none" w:sz="0" w:space="0" w:color="auto"/>
                  </w:divBdr>
                  <w:divsChild>
                    <w:div w:id="1896040066">
                      <w:marLeft w:val="0"/>
                      <w:marRight w:val="0"/>
                      <w:marTop w:val="0"/>
                      <w:marBottom w:val="0"/>
                      <w:divBdr>
                        <w:top w:val="none" w:sz="0" w:space="0" w:color="auto"/>
                        <w:left w:val="none" w:sz="0" w:space="0" w:color="auto"/>
                        <w:bottom w:val="none" w:sz="0" w:space="0" w:color="auto"/>
                        <w:right w:val="none" w:sz="0" w:space="0" w:color="auto"/>
                      </w:divBdr>
                    </w:div>
                  </w:divsChild>
                </w:div>
                <w:div w:id="1526554744">
                  <w:marLeft w:val="0"/>
                  <w:marRight w:val="0"/>
                  <w:marTop w:val="0"/>
                  <w:marBottom w:val="0"/>
                  <w:divBdr>
                    <w:top w:val="none" w:sz="0" w:space="0" w:color="auto"/>
                    <w:left w:val="none" w:sz="0" w:space="0" w:color="auto"/>
                    <w:bottom w:val="none" w:sz="0" w:space="0" w:color="auto"/>
                    <w:right w:val="none" w:sz="0" w:space="0" w:color="auto"/>
                  </w:divBdr>
                  <w:divsChild>
                    <w:div w:id="326635019">
                      <w:marLeft w:val="0"/>
                      <w:marRight w:val="0"/>
                      <w:marTop w:val="0"/>
                      <w:marBottom w:val="0"/>
                      <w:divBdr>
                        <w:top w:val="none" w:sz="0" w:space="0" w:color="auto"/>
                        <w:left w:val="none" w:sz="0" w:space="0" w:color="auto"/>
                        <w:bottom w:val="none" w:sz="0" w:space="0" w:color="auto"/>
                        <w:right w:val="none" w:sz="0" w:space="0" w:color="auto"/>
                      </w:divBdr>
                    </w:div>
                  </w:divsChild>
                </w:div>
                <w:div w:id="289746820">
                  <w:marLeft w:val="0"/>
                  <w:marRight w:val="0"/>
                  <w:marTop w:val="0"/>
                  <w:marBottom w:val="0"/>
                  <w:divBdr>
                    <w:top w:val="none" w:sz="0" w:space="0" w:color="auto"/>
                    <w:left w:val="none" w:sz="0" w:space="0" w:color="auto"/>
                    <w:bottom w:val="none" w:sz="0" w:space="0" w:color="auto"/>
                    <w:right w:val="none" w:sz="0" w:space="0" w:color="auto"/>
                  </w:divBdr>
                  <w:divsChild>
                    <w:div w:id="303825023">
                      <w:marLeft w:val="0"/>
                      <w:marRight w:val="0"/>
                      <w:marTop w:val="0"/>
                      <w:marBottom w:val="0"/>
                      <w:divBdr>
                        <w:top w:val="none" w:sz="0" w:space="0" w:color="auto"/>
                        <w:left w:val="none" w:sz="0" w:space="0" w:color="auto"/>
                        <w:bottom w:val="none" w:sz="0" w:space="0" w:color="auto"/>
                        <w:right w:val="none" w:sz="0" w:space="0" w:color="auto"/>
                      </w:divBdr>
                    </w:div>
                  </w:divsChild>
                </w:div>
                <w:div w:id="165480017">
                  <w:marLeft w:val="0"/>
                  <w:marRight w:val="0"/>
                  <w:marTop w:val="0"/>
                  <w:marBottom w:val="0"/>
                  <w:divBdr>
                    <w:top w:val="none" w:sz="0" w:space="0" w:color="auto"/>
                    <w:left w:val="none" w:sz="0" w:space="0" w:color="auto"/>
                    <w:bottom w:val="none" w:sz="0" w:space="0" w:color="auto"/>
                    <w:right w:val="none" w:sz="0" w:space="0" w:color="auto"/>
                  </w:divBdr>
                  <w:divsChild>
                    <w:div w:id="1989747004">
                      <w:marLeft w:val="0"/>
                      <w:marRight w:val="0"/>
                      <w:marTop w:val="0"/>
                      <w:marBottom w:val="0"/>
                      <w:divBdr>
                        <w:top w:val="none" w:sz="0" w:space="0" w:color="auto"/>
                        <w:left w:val="none" w:sz="0" w:space="0" w:color="auto"/>
                        <w:bottom w:val="none" w:sz="0" w:space="0" w:color="auto"/>
                        <w:right w:val="none" w:sz="0" w:space="0" w:color="auto"/>
                      </w:divBdr>
                    </w:div>
                  </w:divsChild>
                </w:div>
                <w:div w:id="2089307793">
                  <w:marLeft w:val="0"/>
                  <w:marRight w:val="0"/>
                  <w:marTop w:val="0"/>
                  <w:marBottom w:val="0"/>
                  <w:divBdr>
                    <w:top w:val="none" w:sz="0" w:space="0" w:color="auto"/>
                    <w:left w:val="none" w:sz="0" w:space="0" w:color="auto"/>
                    <w:bottom w:val="none" w:sz="0" w:space="0" w:color="auto"/>
                    <w:right w:val="none" w:sz="0" w:space="0" w:color="auto"/>
                  </w:divBdr>
                  <w:divsChild>
                    <w:div w:id="1406413093">
                      <w:marLeft w:val="0"/>
                      <w:marRight w:val="0"/>
                      <w:marTop w:val="0"/>
                      <w:marBottom w:val="0"/>
                      <w:divBdr>
                        <w:top w:val="none" w:sz="0" w:space="0" w:color="auto"/>
                        <w:left w:val="none" w:sz="0" w:space="0" w:color="auto"/>
                        <w:bottom w:val="none" w:sz="0" w:space="0" w:color="auto"/>
                        <w:right w:val="none" w:sz="0" w:space="0" w:color="auto"/>
                      </w:divBdr>
                    </w:div>
                  </w:divsChild>
                </w:div>
                <w:div w:id="1481262316">
                  <w:marLeft w:val="0"/>
                  <w:marRight w:val="0"/>
                  <w:marTop w:val="0"/>
                  <w:marBottom w:val="0"/>
                  <w:divBdr>
                    <w:top w:val="none" w:sz="0" w:space="0" w:color="auto"/>
                    <w:left w:val="none" w:sz="0" w:space="0" w:color="auto"/>
                    <w:bottom w:val="none" w:sz="0" w:space="0" w:color="auto"/>
                    <w:right w:val="none" w:sz="0" w:space="0" w:color="auto"/>
                  </w:divBdr>
                  <w:divsChild>
                    <w:div w:id="907765179">
                      <w:marLeft w:val="0"/>
                      <w:marRight w:val="0"/>
                      <w:marTop w:val="0"/>
                      <w:marBottom w:val="0"/>
                      <w:divBdr>
                        <w:top w:val="none" w:sz="0" w:space="0" w:color="auto"/>
                        <w:left w:val="none" w:sz="0" w:space="0" w:color="auto"/>
                        <w:bottom w:val="none" w:sz="0" w:space="0" w:color="auto"/>
                        <w:right w:val="none" w:sz="0" w:space="0" w:color="auto"/>
                      </w:divBdr>
                    </w:div>
                  </w:divsChild>
                </w:div>
                <w:div w:id="1569803498">
                  <w:marLeft w:val="0"/>
                  <w:marRight w:val="0"/>
                  <w:marTop w:val="0"/>
                  <w:marBottom w:val="0"/>
                  <w:divBdr>
                    <w:top w:val="none" w:sz="0" w:space="0" w:color="auto"/>
                    <w:left w:val="none" w:sz="0" w:space="0" w:color="auto"/>
                    <w:bottom w:val="none" w:sz="0" w:space="0" w:color="auto"/>
                    <w:right w:val="none" w:sz="0" w:space="0" w:color="auto"/>
                  </w:divBdr>
                  <w:divsChild>
                    <w:div w:id="1003708101">
                      <w:marLeft w:val="0"/>
                      <w:marRight w:val="0"/>
                      <w:marTop w:val="0"/>
                      <w:marBottom w:val="0"/>
                      <w:divBdr>
                        <w:top w:val="none" w:sz="0" w:space="0" w:color="auto"/>
                        <w:left w:val="none" w:sz="0" w:space="0" w:color="auto"/>
                        <w:bottom w:val="none" w:sz="0" w:space="0" w:color="auto"/>
                        <w:right w:val="none" w:sz="0" w:space="0" w:color="auto"/>
                      </w:divBdr>
                    </w:div>
                  </w:divsChild>
                </w:div>
                <w:div w:id="32002827">
                  <w:marLeft w:val="0"/>
                  <w:marRight w:val="0"/>
                  <w:marTop w:val="0"/>
                  <w:marBottom w:val="0"/>
                  <w:divBdr>
                    <w:top w:val="none" w:sz="0" w:space="0" w:color="auto"/>
                    <w:left w:val="none" w:sz="0" w:space="0" w:color="auto"/>
                    <w:bottom w:val="none" w:sz="0" w:space="0" w:color="auto"/>
                    <w:right w:val="none" w:sz="0" w:space="0" w:color="auto"/>
                  </w:divBdr>
                  <w:divsChild>
                    <w:div w:id="1570771435">
                      <w:marLeft w:val="0"/>
                      <w:marRight w:val="0"/>
                      <w:marTop w:val="0"/>
                      <w:marBottom w:val="0"/>
                      <w:divBdr>
                        <w:top w:val="none" w:sz="0" w:space="0" w:color="auto"/>
                        <w:left w:val="none" w:sz="0" w:space="0" w:color="auto"/>
                        <w:bottom w:val="none" w:sz="0" w:space="0" w:color="auto"/>
                        <w:right w:val="none" w:sz="0" w:space="0" w:color="auto"/>
                      </w:divBdr>
                    </w:div>
                  </w:divsChild>
                </w:div>
                <w:div w:id="408426380">
                  <w:marLeft w:val="0"/>
                  <w:marRight w:val="0"/>
                  <w:marTop w:val="0"/>
                  <w:marBottom w:val="0"/>
                  <w:divBdr>
                    <w:top w:val="none" w:sz="0" w:space="0" w:color="auto"/>
                    <w:left w:val="none" w:sz="0" w:space="0" w:color="auto"/>
                    <w:bottom w:val="none" w:sz="0" w:space="0" w:color="auto"/>
                    <w:right w:val="none" w:sz="0" w:space="0" w:color="auto"/>
                  </w:divBdr>
                  <w:divsChild>
                    <w:div w:id="2136898209">
                      <w:marLeft w:val="0"/>
                      <w:marRight w:val="0"/>
                      <w:marTop w:val="0"/>
                      <w:marBottom w:val="0"/>
                      <w:divBdr>
                        <w:top w:val="none" w:sz="0" w:space="0" w:color="auto"/>
                        <w:left w:val="none" w:sz="0" w:space="0" w:color="auto"/>
                        <w:bottom w:val="none" w:sz="0" w:space="0" w:color="auto"/>
                        <w:right w:val="none" w:sz="0" w:space="0" w:color="auto"/>
                      </w:divBdr>
                    </w:div>
                  </w:divsChild>
                </w:div>
                <w:div w:id="652871134">
                  <w:marLeft w:val="0"/>
                  <w:marRight w:val="0"/>
                  <w:marTop w:val="0"/>
                  <w:marBottom w:val="0"/>
                  <w:divBdr>
                    <w:top w:val="none" w:sz="0" w:space="0" w:color="auto"/>
                    <w:left w:val="none" w:sz="0" w:space="0" w:color="auto"/>
                    <w:bottom w:val="none" w:sz="0" w:space="0" w:color="auto"/>
                    <w:right w:val="none" w:sz="0" w:space="0" w:color="auto"/>
                  </w:divBdr>
                  <w:divsChild>
                    <w:div w:id="1789085011">
                      <w:marLeft w:val="0"/>
                      <w:marRight w:val="0"/>
                      <w:marTop w:val="0"/>
                      <w:marBottom w:val="0"/>
                      <w:divBdr>
                        <w:top w:val="none" w:sz="0" w:space="0" w:color="auto"/>
                        <w:left w:val="none" w:sz="0" w:space="0" w:color="auto"/>
                        <w:bottom w:val="none" w:sz="0" w:space="0" w:color="auto"/>
                        <w:right w:val="none" w:sz="0" w:space="0" w:color="auto"/>
                      </w:divBdr>
                    </w:div>
                  </w:divsChild>
                </w:div>
                <w:div w:id="1375816051">
                  <w:marLeft w:val="0"/>
                  <w:marRight w:val="0"/>
                  <w:marTop w:val="0"/>
                  <w:marBottom w:val="0"/>
                  <w:divBdr>
                    <w:top w:val="none" w:sz="0" w:space="0" w:color="auto"/>
                    <w:left w:val="none" w:sz="0" w:space="0" w:color="auto"/>
                    <w:bottom w:val="none" w:sz="0" w:space="0" w:color="auto"/>
                    <w:right w:val="none" w:sz="0" w:space="0" w:color="auto"/>
                  </w:divBdr>
                  <w:divsChild>
                    <w:div w:id="512886847">
                      <w:marLeft w:val="0"/>
                      <w:marRight w:val="0"/>
                      <w:marTop w:val="0"/>
                      <w:marBottom w:val="0"/>
                      <w:divBdr>
                        <w:top w:val="none" w:sz="0" w:space="0" w:color="auto"/>
                        <w:left w:val="none" w:sz="0" w:space="0" w:color="auto"/>
                        <w:bottom w:val="none" w:sz="0" w:space="0" w:color="auto"/>
                        <w:right w:val="none" w:sz="0" w:space="0" w:color="auto"/>
                      </w:divBdr>
                    </w:div>
                  </w:divsChild>
                </w:div>
                <w:div w:id="844711784">
                  <w:marLeft w:val="0"/>
                  <w:marRight w:val="0"/>
                  <w:marTop w:val="0"/>
                  <w:marBottom w:val="0"/>
                  <w:divBdr>
                    <w:top w:val="none" w:sz="0" w:space="0" w:color="auto"/>
                    <w:left w:val="none" w:sz="0" w:space="0" w:color="auto"/>
                    <w:bottom w:val="none" w:sz="0" w:space="0" w:color="auto"/>
                    <w:right w:val="none" w:sz="0" w:space="0" w:color="auto"/>
                  </w:divBdr>
                  <w:divsChild>
                    <w:div w:id="1648782745">
                      <w:marLeft w:val="0"/>
                      <w:marRight w:val="0"/>
                      <w:marTop w:val="0"/>
                      <w:marBottom w:val="0"/>
                      <w:divBdr>
                        <w:top w:val="none" w:sz="0" w:space="0" w:color="auto"/>
                        <w:left w:val="none" w:sz="0" w:space="0" w:color="auto"/>
                        <w:bottom w:val="none" w:sz="0" w:space="0" w:color="auto"/>
                        <w:right w:val="none" w:sz="0" w:space="0" w:color="auto"/>
                      </w:divBdr>
                    </w:div>
                  </w:divsChild>
                </w:div>
                <w:div w:id="85225865">
                  <w:marLeft w:val="0"/>
                  <w:marRight w:val="0"/>
                  <w:marTop w:val="0"/>
                  <w:marBottom w:val="0"/>
                  <w:divBdr>
                    <w:top w:val="none" w:sz="0" w:space="0" w:color="auto"/>
                    <w:left w:val="none" w:sz="0" w:space="0" w:color="auto"/>
                    <w:bottom w:val="none" w:sz="0" w:space="0" w:color="auto"/>
                    <w:right w:val="none" w:sz="0" w:space="0" w:color="auto"/>
                  </w:divBdr>
                  <w:divsChild>
                    <w:div w:id="74129887">
                      <w:marLeft w:val="0"/>
                      <w:marRight w:val="0"/>
                      <w:marTop w:val="0"/>
                      <w:marBottom w:val="0"/>
                      <w:divBdr>
                        <w:top w:val="none" w:sz="0" w:space="0" w:color="auto"/>
                        <w:left w:val="none" w:sz="0" w:space="0" w:color="auto"/>
                        <w:bottom w:val="none" w:sz="0" w:space="0" w:color="auto"/>
                        <w:right w:val="none" w:sz="0" w:space="0" w:color="auto"/>
                      </w:divBdr>
                    </w:div>
                  </w:divsChild>
                </w:div>
                <w:div w:id="411243242">
                  <w:marLeft w:val="0"/>
                  <w:marRight w:val="0"/>
                  <w:marTop w:val="0"/>
                  <w:marBottom w:val="0"/>
                  <w:divBdr>
                    <w:top w:val="none" w:sz="0" w:space="0" w:color="auto"/>
                    <w:left w:val="none" w:sz="0" w:space="0" w:color="auto"/>
                    <w:bottom w:val="none" w:sz="0" w:space="0" w:color="auto"/>
                    <w:right w:val="none" w:sz="0" w:space="0" w:color="auto"/>
                  </w:divBdr>
                  <w:divsChild>
                    <w:div w:id="863059406">
                      <w:marLeft w:val="0"/>
                      <w:marRight w:val="0"/>
                      <w:marTop w:val="0"/>
                      <w:marBottom w:val="0"/>
                      <w:divBdr>
                        <w:top w:val="none" w:sz="0" w:space="0" w:color="auto"/>
                        <w:left w:val="none" w:sz="0" w:space="0" w:color="auto"/>
                        <w:bottom w:val="none" w:sz="0" w:space="0" w:color="auto"/>
                        <w:right w:val="none" w:sz="0" w:space="0" w:color="auto"/>
                      </w:divBdr>
                    </w:div>
                  </w:divsChild>
                </w:div>
                <w:div w:id="1304121187">
                  <w:marLeft w:val="0"/>
                  <w:marRight w:val="0"/>
                  <w:marTop w:val="0"/>
                  <w:marBottom w:val="0"/>
                  <w:divBdr>
                    <w:top w:val="none" w:sz="0" w:space="0" w:color="auto"/>
                    <w:left w:val="none" w:sz="0" w:space="0" w:color="auto"/>
                    <w:bottom w:val="none" w:sz="0" w:space="0" w:color="auto"/>
                    <w:right w:val="none" w:sz="0" w:space="0" w:color="auto"/>
                  </w:divBdr>
                  <w:divsChild>
                    <w:div w:id="983774427">
                      <w:marLeft w:val="0"/>
                      <w:marRight w:val="0"/>
                      <w:marTop w:val="0"/>
                      <w:marBottom w:val="0"/>
                      <w:divBdr>
                        <w:top w:val="none" w:sz="0" w:space="0" w:color="auto"/>
                        <w:left w:val="none" w:sz="0" w:space="0" w:color="auto"/>
                        <w:bottom w:val="none" w:sz="0" w:space="0" w:color="auto"/>
                        <w:right w:val="none" w:sz="0" w:space="0" w:color="auto"/>
                      </w:divBdr>
                    </w:div>
                  </w:divsChild>
                </w:div>
                <w:div w:id="2052222474">
                  <w:marLeft w:val="0"/>
                  <w:marRight w:val="0"/>
                  <w:marTop w:val="0"/>
                  <w:marBottom w:val="0"/>
                  <w:divBdr>
                    <w:top w:val="none" w:sz="0" w:space="0" w:color="auto"/>
                    <w:left w:val="none" w:sz="0" w:space="0" w:color="auto"/>
                    <w:bottom w:val="none" w:sz="0" w:space="0" w:color="auto"/>
                    <w:right w:val="none" w:sz="0" w:space="0" w:color="auto"/>
                  </w:divBdr>
                  <w:divsChild>
                    <w:div w:id="857623347">
                      <w:marLeft w:val="0"/>
                      <w:marRight w:val="0"/>
                      <w:marTop w:val="0"/>
                      <w:marBottom w:val="0"/>
                      <w:divBdr>
                        <w:top w:val="none" w:sz="0" w:space="0" w:color="auto"/>
                        <w:left w:val="none" w:sz="0" w:space="0" w:color="auto"/>
                        <w:bottom w:val="none" w:sz="0" w:space="0" w:color="auto"/>
                        <w:right w:val="none" w:sz="0" w:space="0" w:color="auto"/>
                      </w:divBdr>
                    </w:div>
                  </w:divsChild>
                </w:div>
                <w:div w:id="1571423055">
                  <w:marLeft w:val="0"/>
                  <w:marRight w:val="0"/>
                  <w:marTop w:val="0"/>
                  <w:marBottom w:val="0"/>
                  <w:divBdr>
                    <w:top w:val="none" w:sz="0" w:space="0" w:color="auto"/>
                    <w:left w:val="none" w:sz="0" w:space="0" w:color="auto"/>
                    <w:bottom w:val="none" w:sz="0" w:space="0" w:color="auto"/>
                    <w:right w:val="none" w:sz="0" w:space="0" w:color="auto"/>
                  </w:divBdr>
                  <w:divsChild>
                    <w:div w:id="337385399">
                      <w:marLeft w:val="0"/>
                      <w:marRight w:val="0"/>
                      <w:marTop w:val="0"/>
                      <w:marBottom w:val="0"/>
                      <w:divBdr>
                        <w:top w:val="none" w:sz="0" w:space="0" w:color="auto"/>
                        <w:left w:val="none" w:sz="0" w:space="0" w:color="auto"/>
                        <w:bottom w:val="none" w:sz="0" w:space="0" w:color="auto"/>
                        <w:right w:val="none" w:sz="0" w:space="0" w:color="auto"/>
                      </w:divBdr>
                    </w:div>
                  </w:divsChild>
                </w:div>
                <w:div w:id="1562017071">
                  <w:marLeft w:val="0"/>
                  <w:marRight w:val="0"/>
                  <w:marTop w:val="0"/>
                  <w:marBottom w:val="0"/>
                  <w:divBdr>
                    <w:top w:val="none" w:sz="0" w:space="0" w:color="auto"/>
                    <w:left w:val="none" w:sz="0" w:space="0" w:color="auto"/>
                    <w:bottom w:val="none" w:sz="0" w:space="0" w:color="auto"/>
                    <w:right w:val="none" w:sz="0" w:space="0" w:color="auto"/>
                  </w:divBdr>
                  <w:divsChild>
                    <w:div w:id="76562429">
                      <w:marLeft w:val="0"/>
                      <w:marRight w:val="0"/>
                      <w:marTop w:val="0"/>
                      <w:marBottom w:val="0"/>
                      <w:divBdr>
                        <w:top w:val="none" w:sz="0" w:space="0" w:color="auto"/>
                        <w:left w:val="none" w:sz="0" w:space="0" w:color="auto"/>
                        <w:bottom w:val="none" w:sz="0" w:space="0" w:color="auto"/>
                        <w:right w:val="none" w:sz="0" w:space="0" w:color="auto"/>
                      </w:divBdr>
                    </w:div>
                  </w:divsChild>
                </w:div>
                <w:div w:id="651446460">
                  <w:marLeft w:val="0"/>
                  <w:marRight w:val="0"/>
                  <w:marTop w:val="0"/>
                  <w:marBottom w:val="0"/>
                  <w:divBdr>
                    <w:top w:val="none" w:sz="0" w:space="0" w:color="auto"/>
                    <w:left w:val="none" w:sz="0" w:space="0" w:color="auto"/>
                    <w:bottom w:val="none" w:sz="0" w:space="0" w:color="auto"/>
                    <w:right w:val="none" w:sz="0" w:space="0" w:color="auto"/>
                  </w:divBdr>
                  <w:divsChild>
                    <w:div w:id="700935166">
                      <w:marLeft w:val="0"/>
                      <w:marRight w:val="0"/>
                      <w:marTop w:val="0"/>
                      <w:marBottom w:val="0"/>
                      <w:divBdr>
                        <w:top w:val="none" w:sz="0" w:space="0" w:color="auto"/>
                        <w:left w:val="none" w:sz="0" w:space="0" w:color="auto"/>
                        <w:bottom w:val="none" w:sz="0" w:space="0" w:color="auto"/>
                        <w:right w:val="none" w:sz="0" w:space="0" w:color="auto"/>
                      </w:divBdr>
                    </w:div>
                  </w:divsChild>
                </w:div>
                <w:div w:id="786319896">
                  <w:marLeft w:val="0"/>
                  <w:marRight w:val="0"/>
                  <w:marTop w:val="0"/>
                  <w:marBottom w:val="0"/>
                  <w:divBdr>
                    <w:top w:val="none" w:sz="0" w:space="0" w:color="auto"/>
                    <w:left w:val="none" w:sz="0" w:space="0" w:color="auto"/>
                    <w:bottom w:val="none" w:sz="0" w:space="0" w:color="auto"/>
                    <w:right w:val="none" w:sz="0" w:space="0" w:color="auto"/>
                  </w:divBdr>
                  <w:divsChild>
                    <w:div w:id="1675113483">
                      <w:marLeft w:val="0"/>
                      <w:marRight w:val="0"/>
                      <w:marTop w:val="0"/>
                      <w:marBottom w:val="0"/>
                      <w:divBdr>
                        <w:top w:val="none" w:sz="0" w:space="0" w:color="auto"/>
                        <w:left w:val="none" w:sz="0" w:space="0" w:color="auto"/>
                        <w:bottom w:val="none" w:sz="0" w:space="0" w:color="auto"/>
                        <w:right w:val="none" w:sz="0" w:space="0" w:color="auto"/>
                      </w:divBdr>
                    </w:div>
                  </w:divsChild>
                </w:div>
                <w:div w:id="1141270873">
                  <w:marLeft w:val="0"/>
                  <w:marRight w:val="0"/>
                  <w:marTop w:val="0"/>
                  <w:marBottom w:val="0"/>
                  <w:divBdr>
                    <w:top w:val="none" w:sz="0" w:space="0" w:color="auto"/>
                    <w:left w:val="none" w:sz="0" w:space="0" w:color="auto"/>
                    <w:bottom w:val="none" w:sz="0" w:space="0" w:color="auto"/>
                    <w:right w:val="none" w:sz="0" w:space="0" w:color="auto"/>
                  </w:divBdr>
                  <w:divsChild>
                    <w:div w:id="673068441">
                      <w:marLeft w:val="0"/>
                      <w:marRight w:val="0"/>
                      <w:marTop w:val="0"/>
                      <w:marBottom w:val="0"/>
                      <w:divBdr>
                        <w:top w:val="none" w:sz="0" w:space="0" w:color="auto"/>
                        <w:left w:val="none" w:sz="0" w:space="0" w:color="auto"/>
                        <w:bottom w:val="none" w:sz="0" w:space="0" w:color="auto"/>
                        <w:right w:val="none" w:sz="0" w:space="0" w:color="auto"/>
                      </w:divBdr>
                    </w:div>
                  </w:divsChild>
                </w:div>
                <w:div w:id="2060467937">
                  <w:marLeft w:val="0"/>
                  <w:marRight w:val="0"/>
                  <w:marTop w:val="0"/>
                  <w:marBottom w:val="0"/>
                  <w:divBdr>
                    <w:top w:val="none" w:sz="0" w:space="0" w:color="auto"/>
                    <w:left w:val="none" w:sz="0" w:space="0" w:color="auto"/>
                    <w:bottom w:val="none" w:sz="0" w:space="0" w:color="auto"/>
                    <w:right w:val="none" w:sz="0" w:space="0" w:color="auto"/>
                  </w:divBdr>
                  <w:divsChild>
                    <w:div w:id="808135576">
                      <w:marLeft w:val="0"/>
                      <w:marRight w:val="0"/>
                      <w:marTop w:val="0"/>
                      <w:marBottom w:val="0"/>
                      <w:divBdr>
                        <w:top w:val="none" w:sz="0" w:space="0" w:color="auto"/>
                        <w:left w:val="none" w:sz="0" w:space="0" w:color="auto"/>
                        <w:bottom w:val="none" w:sz="0" w:space="0" w:color="auto"/>
                        <w:right w:val="none" w:sz="0" w:space="0" w:color="auto"/>
                      </w:divBdr>
                    </w:div>
                  </w:divsChild>
                </w:div>
                <w:div w:id="1177111522">
                  <w:marLeft w:val="0"/>
                  <w:marRight w:val="0"/>
                  <w:marTop w:val="0"/>
                  <w:marBottom w:val="0"/>
                  <w:divBdr>
                    <w:top w:val="none" w:sz="0" w:space="0" w:color="auto"/>
                    <w:left w:val="none" w:sz="0" w:space="0" w:color="auto"/>
                    <w:bottom w:val="none" w:sz="0" w:space="0" w:color="auto"/>
                    <w:right w:val="none" w:sz="0" w:space="0" w:color="auto"/>
                  </w:divBdr>
                  <w:divsChild>
                    <w:div w:id="1706103524">
                      <w:marLeft w:val="0"/>
                      <w:marRight w:val="0"/>
                      <w:marTop w:val="0"/>
                      <w:marBottom w:val="0"/>
                      <w:divBdr>
                        <w:top w:val="none" w:sz="0" w:space="0" w:color="auto"/>
                        <w:left w:val="none" w:sz="0" w:space="0" w:color="auto"/>
                        <w:bottom w:val="none" w:sz="0" w:space="0" w:color="auto"/>
                        <w:right w:val="none" w:sz="0" w:space="0" w:color="auto"/>
                      </w:divBdr>
                    </w:div>
                  </w:divsChild>
                </w:div>
                <w:div w:id="128520010">
                  <w:marLeft w:val="0"/>
                  <w:marRight w:val="0"/>
                  <w:marTop w:val="0"/>
                  <w:marBottom w:val="0"/>
                  <w:divBdr>
                    <w:top w:val="none" w:sz="0" w:space="0" w:color="auto"/>
                    <w:left w:val="none" w:sz="0" w:space="0" w:color="auto"/>
                    <w:bottom w:val="none" w:sz="0" w:space="0" w:color="auto"/>
                    <w:right w:val="none" w:sz="0" w:space="0" w:color="auto"/>
                  </w:divBdr>
                  <w:divsChild>
                    <w:div w:id="1130132301">
                      <w:marLeft w:val="0"/>
                      <w:marRight w:val="0"/>
                      <w:marTop w:val="0"/>
                      <w:marBottom w:val="0"/>
                      <w:divBdr>
                        <w:top w:val="none" w:sz="0" w:space="0" w:color="auto"/>
                        <w:left w:val="none" w:sz="0" w:space="0" w:color="auto"/>
                        <w:bottom w:val="none" w:sz="0" w:space="0" w:color="auto"/>
                        <w:right w:val="none" w:sz="0" w:space="0" w:color="auto"/>
                      </w:divBdr>
                    </w:div>
                  </w:divsChild>
                </w:div>
                <w:div w:id="1483615350">
                  <w:marLeft w:val="0"/>
                  <w:marRight w:val="0"/>
                  <w:marTop w:val="0"/>
                  <w:marBottom w:val="0"/>
                  <w:divBdr>
                    <w:top w:val="none" w:sz="0" w:space="0" w:color="auto"/>
                    <w:left w:val="none" w:sz="0" w:space="0" w:color="auto"/>
                    <w:bottom w:val="none" w:sz="0" w:space="0" w:color="auto"/>
                    <w:right w:val="none" w:sz="0" w:space="0" w:color="auto"/>
                  </w:divBdr>
                  <w:divsChild>
                    <w:div w:id="274407979">
                      <w:marLeft w:val="0"/>
                      <w:marRight w:val="0"/>
                      <w:marTop w:val="0"/>
                      <w:marBottom w:val="0"/>
                      <w:divBdr>
                        <w:top w:val="none" w:sz="0" w:space="0" w:color="auto"/>
                        <w:left w:val="none" w:sz="0" w:space="0" w:color="auto"/>
                        <w:bottom w:val="none" w:sz="0" w:space="0" w:color="auto"/>
                        <w:right w:val="none" w:sz="0" w:space="0" w:color="auto"/>
                      </w:divBdr>
                    </w:div>
                  </w:divsChild>
                </w:div>
                <w:div w:id="2088651059">
                  <w:marLeft w:val="0"/>
                  <w:marRight w:val="0"/>
                  <w:marTop w:val="0"/>
                  <w:marBottom w:val="0"/>
                  <w:divBdr>
                    <w:top w:val="none" w:sz="0" w:space="0" w:color="auto"/>
                    <w:left w:val="none" w:sz="0" w:space="0" w:color="auto"/>
                    <w:bottom w:val="none" w:sz="0" w:space="0" w:color="auto"/>
                    <w:right w:val="none" w:sz="0" w:space="0" w:color="auto"/>
                  </w:divBdr>
                  <w:divsChild>
                    <w:div w:id="781650487">
                      <w:marLeft w:val="0"/>
                      <w:marRight w:val="0"/>
                      <w:marTop w:val="0"/>
                      <w:marBottom w:val="0"/>
                      <w:divBdr>
                        <w:top w:val="none" w:sz="0" w:space="0" w:color="auto"/>
                        <w:left w:val="none" w:sz="0" w:space="0" w:color="auto"/>
                        <w:bottom w:val="none" w:sz="0" w:space="0" w:color="auto"/>
                        <w:right w:val="none" w:sz="0" w:space="0" w:color="auto"/>
                      </w:divBdr>
                    </w:div>
                  </w:divsChild>
                </w:div>
                <w:div w:id="1218782978">
                  <w:marLeft w:val="0"/>
                  <w:marRight w:val="0"/>
                  <w:marTop w:val="0"/>
                  <w:marBottom w:val="0"/>
                  <w:divBdr>
                    <w:top w:val="none" w:sz="0" w:space="0" w:color="auto"/>
                    <w:left w:val="none" w:sz="0" w:space="0" w:color="auto"/>
                    <w:bottom w:val="none" w:sz="0" w:space="0" w:color="auto"/>
                    <w:right w:val="none" w:sz="0" w:space="0" w:color="auto"/>
                  </w:divBdr>
                  <w:divsChild>
                    <w:div w:id="1034235595">
                      <w:marLeft w:val="0"/>
                      <w:marRight w:val="0"/>
                      <w:marTop w:val="0"/>
                      <w:marBottom w:val="0"/>
                      <w:divBdr>
                        <w:top w:val="none" w:sz="0" w:space="0" w:color="auto"/>
                        <w:left w:val="none" w:sz="0" w:space="0" w:color="auto"/>
                        <w:bottom w:val="none" w:sz="0" w:space="0" w:color="auto"/>
                        <w:right w:val="none" w:sz="0" w:space="0" w:color="auto"/>
                      </w:divBdr>
                    </w:div>
                  </w:divsChild>
                </w:div>
                <w:div w:id="467743398">
                  <w:marLeft w:val="0"/>
                  <w:marRight w:val="0"/>
                  <w:marTop w:val="0"/>
                  <w:marBottom w:val="0"/>
                  <w:divBdr>
                    <w:top w:val="none" w:sz="0" w:space="0" w:color="auto"/>
                    <w:left w:val="none" w:sz="0" w:space="0" w:color="auto"/>
                    <w:bottom w:val="none" w:sz="0" w:space="0" w:color="auto"/>
                    <w:right w:val="none" w:sz="0" w:space="0" w:color="auto"/>
                  </w:divBdr>
                  <w:divsChild>
                    <w:div w:id="172651305">
                      <w:marLeft w:val="0"/>
                      <w:marRight w:val="0"/>
                      <w:marTop w:val="0"/>
                      <w:marBottom w:val="0"/>
                      <w:divBdr>
                        <w:top w:val="none" w:sz="0" w:space="0" w:color="auto"/>
                        <w:left w:val="none" w:sz="0" w:space="0" w:color="auto"/>
                        <w:bottom w:val="none" w:sz="0" w:space="0" w:color="auto"/>
                        <w:right w:val="none" w:sz="0" w:space="0" w:color="auto"/>
                      </w:divBdr>
                    </w:div>
                  </w:divsChild>
                </w:div>
                <w:div w:id="1901939829">
                  <w:marLeft w:val="0"/>
                  <w:marRight w:val="0"/>
                  <w:marTop w:val="0"/>
                  <w:marBottom w:val="0"/>
                  <w:divBdr>
                    <w:top w:val="none" w:sz="0" w:space="0" w:color="auto"/>
                    <w:left w:val="none" w:sz="0" w:space="0" w:color="auto"/>
                    <w:bottom w:val="none" w:sz="0" w:space="0" w:color="auto"/>
                    <w:right w:val="none" w:sz="0" w:space="0" w:color="auto"/>
                  </w:divBdr>
                  <w:divsChild>
                    <w:div w:id="463083304">
                      <w:marLeft w:val="0"/>
                      <w:marRight w:val="0"/>
                      <w:marTop w:val="0"/>
                      <w:marBottom w:val="0"/>
                      <w:divBdr>
                        <w:top w:val="none" w:sz="0" w:space="0" w:color="auto"/>
                        <w:left w:val="none" w:sz="0" w:space="0" w:color="auto"/>
                        <w:bottom w:val="none" w:sz="0" w:space="0" w:color="auto"/>
                        <w:right w:val="none" w:sz="0" w:space="0" w:color="auto"/>
                      </w:divBdr>
                    </w:div>
                  </w:divsChild>
                </w:div>
                <w:div w:id="2073304648">
                  <w:marLeft w:val="0"/>
                  <w:marRight w:val="0"/>
                  <w:marTop w:val="0"/>
                  <w:marBottom w:val="0"/>
                  <w:divBdr>
                    <w:top w:val="none" w:sz="0" w:space="0" w:color="auto"/>
                    <w:left w:val="none" w:sz="0" w:space="0" w:color="auto"/>
                    <w:bottom w:val="none" w:sz="0" w:space="0" w:color="auto"/>
                    <w:right w:val="none" w:sz="0" w:space="0" w:color="auto"/>
                  </w:divBdr>
                  <w:divsChild>
                    <w:div w:id="963652641">
                      <w:marLeft w:val="0"/>
                      <w:marRight w:val="0"/>
                      <w:marTop w:val="0"/>
                      <w:marBottom w:val="0"/>
                      <w:divBdr>
                        <w:top w:val="none" w:sz="0" w:space="0" w:color="auto"/>
                        <w:left w:val="none" w:sz="0" w:space="0" w:color="auto"/>
                        <w:bottom w:val="none" w:sz="0" w:space="0" w:color="auto"/>
                        <w:right w:val="none" w:sz="0" w:space="0" w:color="auto"/>
                      </w:divBdr>
                    </w:div>
                  </w:divsChild>
                </w:div>
                <w:div w:id="288249283">
                  <w:marLeft w:val="0"/>
                  <w:marRight w:val="0"/>
                  <w:marTop w:val="0"/>
                  <w:marBottom w:val="0"/>
                  <w:divBdr>
                    <w:top w:val="none" w:sz="0" w:space="0" w:color="auto"/>
                    <w:left w:val="none" w:sz="0" w:space="0" w:color="auto"/>
                    <w:bottom w:val="none" w:sz="0" w:space="0" w:color="auto"/>
                    <w:right w:val="none" w:sz="0" w:space="0" w:color="auto"/>
                  </w:divBdr>
                  <w:divsChild>
                    <w:div w:id="883447627">
                      <w:marLeft w:val="0"/>
                      <w:marRight w:val="0"/>
                      <w:marTop w:val="0"/>
                      <w:marBottom w:val="0"/>
                      <w:divBdr>
                        <w:top w:val="none" w:sz="0" w:space="0" w:color="auto"/>
                        <w:left w:val="none" w:sz="0" w:space="0" w:color="auto"/>
                        <w:bottom w:val="none" w:sz="0" w:space="0" w:color="auto"/>
                        <w:right w:val="none" w:sz="0" w:space="0" w:color="auto"/>
                      </w:divBdr>
                    </w:div>
                    <w:div w:id="5519593">
                      <w:marLeft w:val="0"/>
                      <w:marRight w:val="0"/>
                      <w:marTop w:val="0"/>
                      <w:marBottom w:val="0"/>
                      <w:divBdr>
                        <w:top w:val="none" w:sz="0" w:space="0" w:color="auto"/>
                        <w:left w:val="none" w:sz="0" w:space="0" w:color="auto"/>
                        <w:bottom w:val="none" w:sz="0" w:space="0" w:color="auto"/>
                        <w:right w:val="none" w:sz="0" w:space="0" w:color="auto"/>
                      </w:divBdr>
                    </w:div>
                    <w:div w:id="1322274291">
                      <w:marLeft w:val="0"/>
                      <w:marRight w:val="0"/>
                      <w:marTop w:val="0"/>
                      <w:marBottom w:val="0"/>
                      <w:divBdr>
                        <w:top w:val="none" w:sz="0" w:space="0" w:color="auto"/>
                        <w:left w:val="none" w:sz="0" w:space="0" w:color="auto"/>
                        <w:bottom w:val="none" w:sz="0" w:space="0" w:color="auto"/>
                        <w:right w:val="none" w:sz="0" w:space="0" w:color="auto"/>
                      </w:divBdr>
                    </w:div>
                  </w:divsChild>
                </w:div>
                <w:div w:id="177156614">
                  <w:marLeft w:val="0"/>
                  <w:marRight w:val="0"/>
                  <w:marTop w:val="0"/>
                  <w:marBottom w:val="0"/>
                  <w:divBdr>
                    <w:top w:val="none" w:sz="0" w:space="0" w:color="auto"/>
                    <w:left w:val="none" w:sz="0" w:space="0" w:color="auto"/>
                    <w:bottom w:val="none" w:sz="0" w:space="0" w:color="auto"/>
                    <w:right w:val="none" w:sz="0" w:space="0" w:color="auto"/>
                  </w:divBdr>
                  <w:divsChild>
                    <w:div w:id="800347261">
                      <w:marLeft w:val="0"/>
                      <w:marRight w:val="0"/>
                      <w:marTop w:val="0"/>
                      <w:marBottom w:val="0"/>
                      <w:divBdr>
                        <w:top w:val="none" w:sz="0" w:space="0" w:color="auto"/>
                        <w:left w:val="none" w:sz="0" w:space="0" w:color="auto"/>
                        <w:bottom w:val="none" w:sz="0" w:space="0" w:color="auto"/>
                        <w:right w:val="none" w:sz="0" w:space="0" w:color="auto"/>
                      </w:divBdr>
                    </w:div>
                    <w:div w:id="1651443059">
                      <w:marLeft w:val="0"/>
                      <w:marRight w:val="0"/>
                      <w:marTop w:val="0"/>
                      <w:marBottom w:val="0"/>
                      <w:divBdr>
                        <w:top w:val="none" w:sz="0" w:space="0" w:color="auto"/>
                        <w:left w:val="none" w:sz="0" w:space="0" w:color="auto"/>
                        <w:bottom w:val="none" w:sz="0" w:space="0" w:color="auto"/>
                        <w:right w:val="none" w:sz="0" w:space="0" w:color="auto"/>
                      </w:divBdr>
                    </w:div>
                    <w:div w:id="689726638">
                      <w:marLeft w:val="0"/>
                      <w:marRight w:val="0"/>
                      <w:marTop w:val="0"/>
                      <w:marBottom w:val="0"/>
                      <w:divBdr>
                        <w:top w:val="none" w:sz="0" w:space="0" w:color="auto"/>
                        <w:left w:val="none" w:sz="0" w:space="0" w:color="auto"/>
                        <w:bottom w:val="none" w:sz="0" w:space="0" w:color="auto"/>
                        <w:right w:val="none" w:sz="0" w:space="0" w:color="auto"/>
                      </w:divBdr>
                    </w:div>
                  </w:divsChild>
                </w:div>
                <w:div w:id="1256671004">
                  <w:marLeft w:val="0"/>
                  <w:marRight w:val="0"/>
                  <w:marTop w:val="0"/>
                  <w:marBottom w:val="0"/>
                  <w:divBdr>
                    <w:top w:val="none" w:sz="0" w:space="0" w:color="auto"/>
                    <w:left w:val="none" w:sz="0" w:space="0" w:color="auto"/>
                    <w:bottom w:val="none" w:sz="0" w:space="0" w:color="auto"/>
                    <w:right w:val="none" w:sz="0" w:space="0" w:color="auto"/>
                  </w:divBdr>
                  <w:divsChild>
                    <w:div w:id="74641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507853">
          <w:marLeft w:val="0"/>
          <w:marRight w:val="0"/>
          <w:marTop w:val="0"/>
          <w:marBottom w:val="0"/>
          <w:divBdr>
            <w:top w:val="none" w:sz="0" w:space="0" w:color="auto"/>
            <w:left w:val="none" w:sz="0" w:space="0" w:color="auto"/>
            <w:bottom w:val="none" w:sz="0" w:space="0" w:color="auto"/>
            <w:right w:val="none" w:sz="0" w:space="0" w:color="auto"/>
          </w:divBdr>
        </w:div>
        <w:div w:id="1746300281">
          <w:marLeft w:val="0"/>
          <w:marRight w:val="0"/>
          <w:marTop w:val="0"/>
          <w:marBottom w:val="0"/>
          <w:divBdr>
            <w:top w:val="none" w:sz="0" w:space="0" w:color="auto"/>
            <w:left w:val="none" w:sz="0" w:space="0" w:color="auto"/>
            <w:bottom w:val="none" w:sz="0" w:space="0" w:color="auto"/>
            <w:right w:val="none" w:sz="0" w:space="0" w:color="auto"/>
          </w:divBdr>
          <w:divsChild>
            <w:div w:id="1920554907">
              <w:marLeft w:val="0"/>
              <w:marRight w:val="0"/>
              <w:marTop w:val="30"/>
              <w:marBottom w:val="30"/>
              <w:divBdr>
                <w:top w:val="none" w:sz="0" w:space="0" w:color="auto"/>
                <w:left w:val="none" w:sz="0" w:space="0" w:color="auto"/>
                <w:bottom w:val="none" w:sz="0" w:space="0" w:color="auto"/>
                <w:right w:val="none" w:sz="0" w:space="0" w:color="auto"/>
              </w:divBdr>
              <w:divsChild>
                <w:div w:id="2039042333">
                  <w:marLeft w:val="0"/>
                  <w:marRight w:val="0"/>
                  <w:marTop w:val="0"/>
                  <w:marBottom w:val="0"/>
                  <w:divBdr>
                    <w:top w:val="none" w:sz="0" w:space="0" w:color="auto"/>
                    <w:left w:val="none" w:sz="0" w:space="0" w:color="auto"/>
                    <w:bottom w:val="none" w:sz="0" w:space="0" w:color="auto"/>
                    <w:right w:val="none" w:sz="0" w:space="0" w:color="auto"/>
                  </w:divBdr>
                  <w:divsChild>
                    <w:div w:id="1675764505">
                      <w:marLeft w:val="0"/>
                      <w:marRight w:val="0"/>
                      <w:marTop w:val="0"/>
                      <w:marBottom w:val="0"/>
                      <w:divBdr>
                        <w:top w:val="none" w:sz="0" w:space="0" w:color="auto"/>
                        <w:left w:val="none" w:sz="0" w:space="0" w:color="auto"/>
                        <w:bottom w:val="none" w:sz="0" w:space="0" w:color="auto"/>
                        <w:right w:val="none" w:sz="0" w:space="0" w:color="auto"/>
                      </w:divBdr>
                    </w:div>
                  </w:divsChild>
                </w:div>
                <w:div w:id="1723871971">
                  <w:marLeft w:val="0"/>
                  <w:marRight w:val="0"/>
                  <w:marTop w:val="0"/>
                  <w:marBottom w:val="0"/>
                  <w:divBdr>
                    <w:top w:val="none" w:sz="0" w:space="0" w:color="auto"/>
                    <w:left w:val="none" w:sz="0" w:space="0" w:color="auto"/>
                    <w:bottom w:val="none" w:sz="0" w:space="0" w:color="auto"/>
                    <w:right w:val="none" w:sz="0" w:space="0" w:color="auto"/>
                  </w:divBdr>
                  <w:divsChild>
                    <w:div w:id="1393846655">
                      <w:marLeft w:val="0"/>
                      <w:marRight w:val="0"/>
                      <w:marTop w:val="0"/>
                      <w:marBottom w:val="0"/>
                      <w:divBdr>
                        <w:top w:val="none" w:sz="0" w:space="0" w:color="auto"/>
                        <w:left w:val="none" w:sz="0" w:space="0" w:color="auto"/>
                        <w:bottom w:val="none" w:sz="0" w:space="0" w:color="auto"/>
                        <w:right w:val="none" w:sz="0" w:space="0" w:color="auto"/>
                      </w:divBdr>
                    </w:div>
                  </w:divsChild>
                </w:div>
                <w:div w:id="1923174743">
                  <w:marLeft w:val="0"/>
                  <w:marRight w:val="0"/>
                  <w:marTop w:val="0"/>
                  <w:marBottom w:val="0"/>
                  <w:divBdr>
                    <w:top w:val="none" w:sz="0" w:space="0" w:color="auto"/>
                    <w:left w:val="none" w:sz="0" w:space="0" w:color="auto"/>
                    <w:bottom w:val="none" w:sz="0" w:space="0" w:color="auto"/>
                    <w:right w:val="none" w:sz="0" w:space="0" w:color="auto"/>
                  </w:divBdr>
                  <w:divsChild>
                    <w:div w:id="983853373">
                      <w:marLeft w:val="0"/>
                      <w:marRight w:val="0"/>
                      <w:marTop w:val="0"/>
                      <w:marBottom w:val="0"/>
                      <w:divBdr>
                        <w:top w:val="none" w:sz="0" w:space="0" w:color="auto"/>
                        <w:left w:val="none" w:sz="0" w:space="0" w:color="auto"/>
                        <w:bottom w:val="none" w:sz="0" w:space="0" w:color="auto"/>
                        <w:right w:val="none" w:sz="0" w:space="0" w:color="auto"/>
                      </w:divBdr>
                    </w:div>
                  </w:divsChild>
                </w:div>
                <w:div w:id="1612711664">
                  <w:marLeft w:val="0"/>
                  <w:marRight w:val="0"/>
                  <w:marTop w:val="0"/>
                  <w:marBottom w:val="0"/>
                  <w:divBdr>
                    <w:top w:val="none" w:sz="0" w:space="0" w:color="auto"/>
                    <w:left w:val="none" w:sz="0" w:space="0" w:color="auto"/>
                    <w:bottom w:val="none" w:sz="0" w:space="0" w:color="auto"/>
                    <w:right w:val="none" w:sz="0" w:space="0" w:color="auto"/>
                  </w:divBdr>
                  <w:divsChild>
                    <w:div w:id="131143781">
                      <w:marLeft w:val="0"/>
                      <w:marRight w:val="0"/>
                      <w:marTop w:val="0"/>
                      <w:marBottom w:val="0"/>
                      <w:divBdr>
                        <w:top w:val="none" w:sz="0" w:space="0" w:color="auto"/>
                        <w:left w:val="none" w:sz="0" w:space="0" w:color="auto"/>
                        <w:bottom w:val="none" w:sz="0" w:space="0" w:color="auto"/>
                        <w:right w:val="none" w:sz="0" w:space="0" w:color="auto"/>
                      </w:divBdr>
                    </w:div>
                  </w:divsChild>
                </w:div>
                <w:div w:id="193540179">
                  <w:marLeft w:val="0"/>
                  <w:marRight w:val="0"/>
                  <w:marTop w:val="0"/>
                  <w:marBottom w:val="0"/>
                  <w:divBdr>
                    <w:top w:val="none" w:sz="0" w:space="0" w:color="auto"/>
                    <w:left w:val="none" w:sz="0" w:space="0" w:color="auto"/>
                    <w:bottom w:val="none" w:sz="0" w:space="0" w:color="auto"/>
                    <w:right w:val="none" w:sz="0" w:space="0" w:color="auto"/>
                  </w:divBdr>
                  <w:divsChild>
                    <w:div w:id="839466025">
                      <w:marLeft w:val="0"/>
                      <w:marRight w:val="0"/>
                      <w:marTop w:val="0"/>
                      <w:marBottom w:val="0"/>
                      <w:divBdr>
                        <w:top w:val="none" w:sz="0" w:space="0" w:color="auto"/>
                        <w:left w:val="none" w:sz="0" w:space="0" w:color="auto"/>
                        <w:bottom w:val="none" w:sz="0" w:space="0" w:color="auto"/>
                        <w:right w:val="none" w:sz="0" w:space="0" w:color="auto"/>
                      </w:divBdr>
                    </w:div>
                  </w:divsChild>
                </w:div>
                <w:div w:id="604653544">
                  <w:marLeft w:val="0"/>
                  <w:marRight w:val="0"/>
                  <w:marTop w:val="0"/>
                  <w:marBottom w:val="0"/>
                  <w:divBdr>
                    <w:top w:val="none" w:sz="0" w:space="0" w:color="auto"/>
                    <w:left w:val="none" w:sz="0" w:space="0" w:color="auto"/>
                    <w:bottom w:val="none" w:sz="0" w:space="0" w:color="auto"/>
                    <w:right w:val="none" w:sz="0" w:space="0" w:color="auto"/>
                  </w:divBdr>
                  <w:divsChild>
                    <w:div w:id="2028213841">
                      <w:marLeft w:val="0"/>
                      <w:marRight w:val="0"/>
                      <w:marTop w:val="0"/>
                      <w:marBottom w:val="0"/>
                      <w:divBdr>
                        <w:top w:val="none" w:sz="0" w:space="0" w:color="auto"/>
                        <w:left w:val="none" w:sz="0" w:space="0" w:color="auto"/>
                        <w:bottom w:val="none" w:sz="0" w:space="0" w:color="auto"/>
                        <w:right w:val="none" w:sz="0" w:space="0" w:color="auto"/>
                      </w:divBdr>
                    </w:div>
                  </w:divsChild>
                </w:div>
                <w:div w:id="189955439">
                  <w:marLeft w:val="0"/>
                  <w:marRight w:val="0"/>
                  <w:marTop w:val="0"/>
                  <w:marBottom w:val="0"/>
                  <w:divBdr>
                    <w:top w:val="none" w:sz="0" w:space="0" w:color="auto"/>
                    <w:left w:val="none" w:sz="0" w:space="0" w:color="auto"/>
                    <w:bottom w:val="none" w:sz="0" w:space="0" w:color="auto"/>
                    <w:right w:val="none" w:sz="0" w:space="0" w:color="auto"/>
                  </w:divBdr>
                  <w:divsChild>
                    <w:div w:id="906304948">
                      <w:marLeft w:val="0"/>
                      <w:marRight w:val="0"/>
                      <w:marTop w:val="0"/>
                      <w:marBottom w:val="0"/>
                      <w:divBdr>
                        <w:top w:val="none" w:sz="0" w:space="0" w:color="auto"/>
                        <w:left w:val="none" w:sz="0" w:space="0" w:color="auto"/>
                        <w:bottom w:val="none" w:sz="0" w:space="0" w:color="auto"/>
                        <w:right w:val="none" w:sz="0" w:space="0" w:color="auto"/>
                      </w:divBdr>
                    </w:div>
                  </w:divsChild>
                </w:div>
                <w:div w:id="336614061">
                  <w:marLeft w:val="0"/>
                  <w:marRight w:val="0"/>
                  <w:marTop w:val="0"/>
                  <w:marBottom w:val="0"/>
                  <w:divBdr>
                    <w:top w:val="none" w:sz="0" w:space="0" w:color="auto"/>
                    <w:left w:val="none" w:sz="0" w:space="0" w:color="auto"/>
                    <w:bottom w:val="none" w:sz="0" w:space="0" w:color="auto"/>
                    <w:right w:val="none" w:sz="0" w:space="0" w:color="auto"/>
                  </w:divBdr>
                  <w:divsChild>
                    <w:div w:id="1193114059">
                      <w:marLeft w:val="0"/>
                      <w:marRight w:val="0"/>
                      <w:marTop w:val="0"/>
                      <w:marBottom w:val="0"/>
                      <w:divBdr>
                        <w:top w:val="none" w:sz="0" w:space="0" w:color="auto"/>
                        <w:left w:val="none" w:sz="0" w:space="0" w:color="auto"/>
                        <w:bottom w:val="none" w:sz="0" w:space="0" w:color="auto"/>
                        <w:right w:val="none" w:sz="0" w:space="0" w:color="auto"/>
                      </w:divBdr>
                    </w:div>
                  </w:divsChild>
                </w:div>
                <w:div w:id="1646734595">
                  <w:marLeft w:val="0"/>
                  <w:marRight w:val="0"/>
                  <w:marTop w:val="0"/>
                  <w:marBottom w:val="0"/>
                  <w:divBdr>
                    <w:top w:val="none" w:sz="0" w:space="0" w:color="auto"/>
                    <w:left w:val="none" w:sz="0" w:space="0" w:color="auto"/>
                    <w:bottom w:val="none" w:sz="0" w:space="0" w:color="auto"/>
                    <w:right w:val="none" w:sz="0" w:space="0" w:color="auto"/>
                  </w:divBdr>
                  <w:divsChild>
                    <w:div w:id="1685129873">
                      <w:marLeft w:val="0"/>
                      <w:marRight w:val="0"/>
                      <w:marTop w:val="0"/>
                      <w:marBottom w:val="0"/>
                      <w:divBdr>
                        <w:top w:val="none" w:sz="0" w:space="0" w:color="auto"/>
                        <w:left w:val="none" w:sz="0" w:space="0" w:color="auto"/>
                        <w:bottom w:val="none" w:sz="0" w:space="0" w:color="auto"/>
                        <w:right w:val="none" w:sz="0" w:space="0" w:color="auto"/>
                      </w:divBdr>
                    </w:div>
                  </w:divsChild>
                </w:div>
                <w:div w:id="1143279676">
                  <w:marLeft w:val="0"/>
                  <w:marRight w:val="0"/>
                  <w:marTop w:val="0"/>
                  <w:marBottom w:val="0"/>
                  <w:divBdr>
                    <w:top w:val="none" w:sz="0" w:space="0" w:color="auto"/>
                    <w:left w:val="none" w:sz="0" w:space="0" w:color="auto"/>
                    <w:bottom w:val="none" w:sz="0" w:space="0" w:color="auto"/>
                    <w:right w:val="none" w:sz="0" w:space="0" w:color="auto"/>
                  </w:divBdr>
                  <w:divsChild>
                    <w:div w:id="1556354158">
                      <w:marLeft w:val="0"/>
                      <w:marRight w:val="0"/>
                      <w:marTop w:val="0"/>
                      <w:marBottom w:val="0"/>
                      <w:divBdr>
                        <w:top w:val="none" w:sz="0" w:space="0" w:color="auto"/>
                        <w:left w:val="none" w:sz="0" w:space="0" w:color="auto"/>
                        <w:bottom w:val="none" w:sz="0" w:space="0" w:color="auto"/>
                        <w:right w:val="none" w:sz="0" w:space="0" w:color="auto"/>
                      </w:divBdr>
                    </w:div>
                  </w:divsChild>
                </w:div>
                <w:div w:id="2017337917">
                  <w:marLeft w:val="0"/>
                  <w:marRight w:val="0"/>
                  <w:marTop w:val="0"/>
                  <w:marBottom w:val="0"/>
                  <w:divBdr>
                    <w:top w:val="none" w:sz="0" w:space="0" w:color="auto"/>
                    <w:left w:val="none" w:sz="0" w:space="0" w:color="auto"/>
                    <w:bottom w:val="none" w:sz="0" w:space="0" w:color="auto"/>
                    <w:right w:val="none" w:sz="0" w:space="0" w:color="auto"/>
                  </w:divBdr>
                  <w:divsChild>
                    <w:div w:id="1467167027">
                      <w:marLeft w:val="0"/>
                      <w:marRight w:val="0"/>
                      <w:marTop w:val="0"/>
                      <w:marBottom w:val="0"/>
                      <w:divBdr>
                        <w:top w:val="none" w:sz="0" w:space="0" w:color="auto"/>
                        <w:left w:val="none" w:sz="0" w:space="0" w:color="auto"/>
                        <w:bottom w:val="none" w:sz="0" w:space="0" w:color="auto"/>
                        <w:right w:val="none" w:sz="0" w:space="0" w:color="auto"/>
                      </w:divBdr>
                    </w:div>
                  </w:divsChild>
                </w:div>
                <w:div w:id="135226609">
                  <w:marLeft w:val="0"/>
                  <w:marRight w:val="0"/>
                  <w:marTop w:val="0"/>
                  <w:marBottom w:val="0"/>
                  <w:divBdr>
                    <w:top w:val="none" w:sz="0" w:space="0" w:color="auto"/>
                    <w:left w:val="none" w:sz="0" w:space="0" w:color="auto"/>
                    <w:bottom w:val="none" w:sz="0" w:space="0" w:color="auto"/>
                    <w:right w:val="none" w:sz="0" w:space="0" w:color="auto"/>
                  </w:divBdr>
                  <w:divsChild>
                    <w:div w:id="17510797">
                      <w:marLeft w:val="0"/>
                      <w:marRight w:val="0"/>
                      <w:marTop w:val="0"/>
                      <w:marBottom w:val="0"/>
                      <w:divBdr>
                        <w:top w:val="none" w:sz="0" w:space="0" w:color="auto"/>
                        <w:left w:val="none" w:sz="0" w:space="0" w:color="auto"/>
                        <w:bottom w:val="none" w:sz="0" w:space="0" w:color="auto"/>
                        <w:right w:val="none" w:sz="0" w:space="0" w:color="auto"/>
                      </w:divBdr>
                    </w:div>
                  </w:divsChild>
                </w:div>
                <w:div w:id="67582835">
                  <w:marLeft w:val="0"/>
                  <w:marRight w:val="0"/>
                  <w:marTop w:val="0"/>
                  <w:marBottom w:val="0"/>
                  <w:divBdr>
                    <w:top w:val="none" w:sz="0" w:space="0" w:color="auto"/>
                    <w:left w:val="none" w:sz="0" w:space="0" w:color="auto"/>
                    <w:bottom w:val="none" w:sz="0" w:space="0" w:color="auto"/>
                    <w:right w:val="none" w:sz="0" w:space="0" w:color="auto"/>
                  </w:divBdr>
                  <w:divsChild>
                    <w:div w:id="303314356">
                      <w:marLeft w:val="0"/>
                      <w:marRight w:val="0"/>
                      <w:marTop w:val="0"/>
                      <w:marBottom w:val="0"/>
                      <w:divBdr>
                        <w:top w:val="none" w:sz="0" w:space="0" w:color="auto"/>
                        <w:left w:val="none" w:sz="0" w:space="0" w:color="auto"/>
                        <w:bottom w:val="none" w:sz="0" w:space="0" w:color="auto"/>
                        <w:right w:val="none" w:sz="0" w:space="0" w:color="auto"/>
                      </w:divBdr>
                    </w:div>
                    <w:div w:id="1464228313">
                      <w:marLeft w:val="0"/>
                      <w:marRight w:val="0"/>
                      <w:marTop w:val="0"/>
                      <w:marBottom w:val="0"/>
                      <w:divBdr>
                        <w:top w:val="none" w:sz="0" w:space="0" w:color="auto"/>
                        <w:left w:val="none" w:sz="0" w:space="0" w:color="auto"/>
                        <w:bottom w:val="none" w:sz="0" w:space="0" w:color="auto"/>
                        <w:right w:val="none" w:sz="0" w:space="0" w:color="auto"/>
                      </w:divBdr>
                    </w:div>
                  </w:divsChild>
                </w:div>
                <w:div w:id="141654060">
                  <w:marLeft w:val="0"/>
                  <w:marRight w:val="0"/>
                  <w:marTop w:val="0"/>
                  <w:marBottom w:val="0"/>
                  <w:divBdr>
                    <w:top w:val="none" w:sz="0" w:space="0" w:color="auto"/>
                    <w:left w:val="none" w:sz="0" w:space="0" w:color="auto"/>
                    <w:bottom w:val="none" w:sz="0" w:space="0" w:color="auto"/>
                    <w:right w:val="none" w:sz="0" w:space="0" w:color="auto"/>
                  </w:divBdr>
                  <w:divsChild>
                    <w:div w:id="1329673417">
                      <w:marLeft w:val="0"/>
                      <w:marRight w:val="0"/>
                      <w:marTop w:val="0"/>
                      <w:marBottom w:val="0"/>
                      <w:divBdr>
                        <w:top w:val="none" w:sz="0" w:space="0" w:color="auto"/>
                        <w:left w:val="none" w:sz="0" w:space="0" w:color="auto"/>
                        <w:bottom w:val="none" w:sz="0" w:space="0" w:color="auto"/>
                        <w:right w:val="none" w:sz="0" w:space="0" w:color="auto"/>
                      </w:divBdr>
                    </w:div>
                  </w:divsChild>
                </w:div>
                <w:div w:id="879316972">
                  <w:marLeft w:val="0"/>
                  <w:marRight w:val="0"/>
                  <w:marTop w:val="0"/>
                  <w:marBottom w:val="0"/>
                  <w:divBdr>
                    <w:top w:val="none" w:sz="0" w:space="0" w:color="auto"/>
                    <w:left w:val="none" w:sz="0" w:space="0" w:color="auto"/>
                    <w:bottom w:val="none" w:sz="0" w:space="0" w:color="auto"/>
                    <w:right w:val="none" w:sz="0" w:space="0" w:color="auto"/>
                  </w:divBdr>
                  <w:divsChild>
                    <w:div w:id="1532843402">
                      <w:marLeft w:val="0"/>
                      <w:marRight w:val="0"/>
                      <w:marTop w:val="0"/>
                      <w:marBottom w:val="0"/>
                      <w:divBdr>
                        <w:top w:val="none" w:sz="0" w:space="0" w:color="auto"/>
                        <w:left w:val="none" w:sz="0" w:space="0" w:color="auto"/>
                        <w:bottom w:val="none" w:sz="0" w:space="0" w:color="auto"/>
                        <w:right w:val="none" w:sz="0" w:space="0" w:color="auto"/>
                      </w:divBdr>
                    </w:div>
                  </w:divsChild>
                </w:div>
                <w:div w:id="155728445">
                  <w:marLeft w:val="0"/>
                  <w:marRight w:val="0"/>
                  <w:marTop w:val="0"/>
                  <w:marBottom w:val="0"/>
                  <w:divBdr>
                    <w:top w:val="none" w:sz="0" w:space="0" w:color="auto"/>
                    <w:left w:val="none" w:sz="0" w:space="0" w:color="auto"/>
                    <w:bottom w:val="none" w:sz="0" w:space="0" w:color="auto"/>
                    <w:right w:val="none" w:sz="0" w:space="0" w:color="auto"/>
                  </w:divBdr>
                  <w:divsChild>
                    <w:div w:id="830869222">
                      <w:marLeft w:val="0"/>
                      <w:marRight w:val="0"/>
                      <w:marTop w:val="0"/>
                      <w:marBottom w:val="0"/>
                      <w:divBdr>
                        <w:top w:val="none" w:sz="0" w:space="0" w:color="auto"/>
                        <w:left w:val="none" w:sz="0" w:space="0" w:color="auto"/>
                        <w:bottom w:val="none" w:sz="0" w:space="0" w:color="auto"/>
                        <w:right w:val="none" w:sz="0" w:space="0" w:color="auto"/>
                      </w:divBdr>
                    </w:div>
                  </w:divsChild>
                </w:div>
                <w:div w:id="1538619564">
                  <w:marLeft w:val="0"/>
                  <w:marRight w:val="0"/>
                  <w:marTop w:val="0"/>
                  <w:marBottom w:val="0"/>
                  <w:divBdr>
                    <w:top w:val="none" w:sz="0" w:space="0" w:color="auto"/>
                    <w:left w:val="none" w:sz="0" w:space="0" w:color="auto"/>
                    <w:bottom w:val="none" w:sz="0" w:space="0" w:color="auto"/>
                    <w:right w:val="none" w:sz="0" w:space="0" w:color="auto"/>
                  </w:divBdr>
                  <w:divsChild>
                    <w:div w:id="1538159419">
                      <w:marLeft w:val="0"/>
                      <w:marRight w:val="0"/>
                      <w:marTop w:val="0"/>
                      <w:marBottom w:val="0"/>
                      <w:divBdr>
                        <w:top w:val="none" w:sz="0" w:space="0" w:color="auto"/>
                        <w:left w:val="none" w:sz="0" w:space="0" w:color="auto"/>
                        <w:bottom w:val="none" w:sz="0" w:space="0" w:color="auto"/>
                        <w:right w:val="none" w:sz="0" w:space="0" w:color="auto"/>
                      </w:divBdr>
                    </w:div>
                  </w:divsChild>
                </w:div>
                <w:div w:id="1178229686">
                  <w:marLeft w:val="0"/>
                  <w:marRight w:val="0"/>
                  <w:marTop w:val="0"/>
                  <w:marBottom w:val="0"/>
                  <w:divBdr>
                    <w:top w:val="none" w:sz="0" w:space="0" w:color="auto"/>
                    <w:left w:val="none" w:sz="0" w:space="0" w:color="auto"/>
                    <w:bottom w:val="none" w:sz="0" w:space="0" w:color="auto"/>
                    <w:right w:val="none" w:sz="0" w:space="0" w:color="auto"/>
                  </w:divBdr>
                  <w:divsChild>
                    <w:div w:id="10499057">
                      <w:marLeft w:val="0"/>
                      <w:marRight w:val="0"/>
                      <w:marTop w:val="0"/>
                      <w:marBottom w:val="0"/>
                      <w:divBdr>
                        <w:top w:val="none" w:sz="0" w:space="0" w:color="auto"/>
                        <w:left w:val="none" w:sz="0" w:space="0" w:color="auto"/>
                        <w:bottom w:val="none" w:sz="0" w:space="0" w:color="auto"/>
                        <w:right w:val="none" w:sz="0" w:space="0" w:color="auto"/>
                      </w:divBdr>
                    </w:div>
                  </w:divsChild>
                </w:div>
                <w:div w:id="1941063383">
                  <w:marLeft w:val="0"/>
                  <w:marRight w:val="0"/>
                  <w:marTop w:val="0"/>
                  <w:marBottom w:val="0"/>
                  <w:divBdr>
                    <w:top w:val="none" w:sz="0" w:space="0" w:color="auto"/>
                    <w:left w:val="none" w:sz="0" w:space="0" w:color="auto"/>
                    <w:bottom w:val="none" w:sz="0" w:space="0" w:color="auto"/>
                    <w:right w:val="none" w:sz="0" w:space="0" w:color="auto"/>
                  </w:divBdr>
                  <w:divsChild>
                    <w:div w:id="1871184902">
                      <w:marLeft w:val="0"/>
                      <w:marRight w:val="0"/>
                      <w:marTop w:val="0"/>
                      <w:marBottom w:val="0"/>
                      <w:divBdr>
                        <w:top w:val="none" w:sz="0" w:space="0" w:color="auto"/>
                        <w:left w:val="none" w:sz="0" w:space="0" w:color="auto"/>
                        <w:bottom w:val="none" w:sz="0" w:space="0" w:color="auto"/>
                        <w:right w:val="none" w:sz="0" w:space="0" w:color="auto"/>
                      </w:divBdr>
                    </w:div>
                  </w:divsChild>
                </w:div>
                <w:div w:id="381563754">
                  <w:marLeft w:val="0"/>
                  <w:marRight w:val="0"/>
                  <w:marTop w:val="0"/>
                  <w:marBottom w:val="0"/>
                  <w:divBdr>
                    <w:top w:val="none" w:sz="0" w:space="0" w:color="auto"/>
                    <w:left w:val="none" w:sz="0" w:space="0" w:color="auto"/>
                    <w:bottom w:val="none" w:sz="0" w:space="0" w:color="auto"/>
                    <w:right w:val="none" w:sz="0" w:space="0" w:color="auto"/>
                  </w:divBdr>
                  <w:divsChild>
                    <w:div w:id="1352997955">
                      <w:marLeft w:val="0"/>
                      <w:marRight w:val="0"/>
                      <w:marTop w:val="0"/>
                      <w:marBottom w:val="0"/>
                      <w:divBdr>
                        <w:top w:val="none" w:sz="0" w:space="0" w:color="auto"/>
                        <w:left w:val="none" w:sz="0" w:space="0" w:color="auto"/>
                        <w:bottom w:val="none" w:sz="0" w:space="0" w:color="auto"/>
                        <w:right w:val="none" w:sz="0" w:space="0" w:color="auto"/>
                      </w:divBdr>
                    </w:div>
                    <w:div w:id="1400715358">
                      <w:marLeft w:val="0"/>
                      <w:marRight w:val="0"/>
                      <w:marTop w:val="0"/>
                      <w:marBottom w:val="0"/>
                      <w:divBdr>
                        <w:top w:val="none" w:sz="0" w:space="0" w:color="auto"/>
                        <w:left w:val="none" w:sz="0" w:space="0" w:color="auto"/>
                        <w:bottom w:val="none" w:sz="0" w:space="0" w:color="auto"/>
                        <w:right w:val="none" w:sz="0" w:space="0" w:color="auto"/>
                      </w:divBdr>
                    </w:div>
                  </w:divsChild>
                </w:div>
                <w:div w:id="1364401191">
                  <w:marLeft w:val="0"/>
                  <w:marRight w:val="0"/>
                  <w:marTop w:val="0"/>
                  <w:marBottom w:val="0"/>
                  <w:divBdr>
                    <w:top w:val="none" w:sz="0" w:space="0" w:color="auto"/>
                    <w:left w:val="none" w:sz="0" w:space="0" w:color="auto"/>
                    <w:bottom w:val="none" w:sz="0" w:space="0" w:color="auto"/>
                    <w:right w:val="none" w:sz="0" w:space="0" w:color="auto"/>
                  </w:divBdr>
                  <w:divsChild>
                    <w:div w:id="132528417">
                      <w:marLeft w:val="0"/>
                      <w:marRight w:val="0"/>
                      <w:marTop w:val="0"/>
                      <w:marBottom w:val="0"/>
                      <w:divBdr>
                        <w:top w:val="none" w:sz="0" w:space="0" w:color="auto"/>
                        <w:left w:val="none" w:sz="0" w:space="0" w:color="auto"/>
                        <w:bottom w:val="none" w:sz="0" w:space="0" w:color="auto"/>
                        <w:right w:val="none" w:sz="0" w:space="0" w:color="auto"/>
                      </w:divBdr>
                    </w:div>
                  </w:divsChild>
                </w:div>
                <w:div w:id="750736433">
                  <w:marLeft w:val="0"/>
                  <w:marRight w:val="0"/>
                  <w:marTop w:val="0"/>
                  <w:marBottom w:val="0"/>
                  <w:divBdr>
                    <w:top w:val="none" w:sz="0" w:space="0" w:color="auto"/>
                    <w:left w:val="none" w:sz="0" w:space="0" w:color="auto"/>
                    <w:bottom w:val="none" w:sz="0" w:space="0" w:color="auto"/>
                    <w:right w:val="none" w:sz="0" w:space="0" w:color="auto"/>
                  </w:divBdr>
                  <w:divsChild>
                    <w:div w:id="315114145">
                      <w:marLeft w:val="0"/>
                      <w:marRight w:val="0"/>
                      <w:marTop w:val="0"/>
                      <w:marBottom w:val="0"/>
                      <w:divBdr>
                        <w:top w:val="none" w:sz="0" w:space="0" w:color="auto"/>
                        <w:left w:val="none" w:sz="0" w:space="0" w:color="auto"/>
                        <w:bottom w:val="none" w:sz="0" w:space="0" w:color="auto"/>
                        <w:right w:val="none" w:sz="0" w:space="0" w:color="auto"/>
                      </w:divBdr>
                    </w:div>
                  </w:divsChild>
                </w:div>
                <w:div w:id="139882857">
                  <w:marLeft w:val="0"/>
                  <w:marRight w:val="0"/>
                  <w:marTop w:val="0"/>
                  <w:marBottom w:val="0"/>
                  <w:divBdr>
                    <w:top w:val="none" w:sz="0" w:space="0" w:color="auto"/>
                    <w:left w:val="none" w:sz="0" w:space="0" w:color="auto"/>
                    <w:bottom w:val="none" w:sz="0" w:space="0" w:color="auto"/>
                    <w:right w:val="none" w:sz="0" w:space="0" w:color="auto"/>
                  </w:divBdr>
                  <w:divsChild>
                    <w:div w:id="161626513">
                      <w:marLeft w:val="0"/>
                      <w:marRight w:val="0"/>
                      <w:marTop w:val="0"/>
                      <w:marBottom w:val="0"/>
                      <w:divBdr>
                        <w:top w:val="none" w:sz="0" w:space="0" w:color="auto"/>
                        <w:left w:val="none" w:sz="0" w:space="0" w:color="auto"/>
                        <w:bottom w:val="none" w:sz="0" w:space="0" w:color="auto"/>
                        <w:right w:val="none" w:sz="0" w:space="0" w:color="auto"/>
                      </w:divBdr>
                    </w:div>
                  </w:divsChild>
                </w:div>
                <w:div w:id="873422957">
                  <w:marLeft w:val="0"/>
                  <w:marRight w:val="0"/>
                  <w:marTop w:val="0"/>
                  <w:marBottom w:val="0"/>
                  <w:divBdr>
                    <w:top w:val="none" w:sz="0" w:space="0" w:color="auto"/>
                    <w:left w:val="none" w:sz="0" w:space="0" w:color="auto"/>
                    <w:bottom w:val="none" w:sz="0" w:space="0" w:color="auto"/>
                    <w:right w:val="none" w:sz="0" w:space="0" w:color="auto"/>
                  </w:divBdr>
                  <w:divsChild>
                    <w:div w:id="1630630064">
                      <w:marLeft w:val="0"/>
                      <w:marRight w:val="0"/>
                      <w:marTop w:val="0"/>
                      <w:marBottom w:val="0"/>
                      <w:divBdr>
                        <w:top w:val="none" w:sz="0" w:space="0" w:color="auto"/>
                        <w:left w:val="none" w:sz="0" w:space="0" w:color="auto"/>
                        <w:bottom w:val="none" w:sz="0" w:space="0" w:color="auto"/>
                        <w:right w:val="none" w:sz="0" w:space="0" w:color="auto"/>
                      </w:divBdr>
                    </w:div>
                  </w:divsChild>
                </w:div>
                <w:div w:id="1470053591">
                  <w:marLeft w:val="0"/>
                  <w:marRight w:val="0"/>
                  <w:marTop w:val="0"/>
                  <w:marBottom w:val="0"/>
                  <w:divBdr>
                    <w:top w:val="none" w:sz="0" w:space="0" w:color="auto"/>
                    <w:left w:val="none" w:sz="0" w:space="0" w:color="auto"/>
                    <w:bottom w:val="none" w:sz="0" w:space="0" w:color="auto"/>
                    <w:right w:val="none" w:sz="0" w:space="0" w:color="auto"/>
                  </w:divBdr>
                  <w:divsChild>
                    <w:div w:id="1803695103">
                      <w:marLeft w:val="0"/>
                      <w:marRight w:val="0"/>
                      <w:marTop w:val="0"/>
                      <w:marBottom w:val="0"/>
                      <w:divBdr>
                        <w:top w:val="none" w:sz="0" w:space="0" w:color="auto"/>
                        <w:left w:val="none" w:sz="0" w:space="0" w:color="auto"/>
                        <w:bottom w:val="none" w:sz="0" w:space="0" w:color="auto"/>
                        <w:right w:val="none" w:sz="0" w:space="0" w:color="auto"/>
                      </w:divBdr>
                    </w:div>
                  </w:divsChild>
                </w:div>
                <w:div w:id="1670400637">
                  <w:marLeft w:val="0"/>
                  <w:marRight w:val="0"/>
                  <w:marTop w:val="0"/>
                  <w:marBottom w:val="0"/>
                  <w:divBdr>
                    <w:top w:val="none" w:sz="0" w:space="0" w:color="auto"/>
                    <w:left w:val="none" w:sz="0" w:space="0" w:color="auto"/>
                    <w:bottom w:val="none" w:sz="0" w:space="0" w:color="auto"/>
                    <w:right w:val="none" w:sz="0" w:space="0" w:color="auto"/>
                  </w:divBdr>
                  <w:divsChild>
                    <w:div w:id="692461136">
                      <w:marLeft w:val="0"/>
                      <w:marRight w:val="0"/>
                      <w:marTop w:val="0"/>
                      <w:marBottom w:val="0"/>
                      <w:divBdr>
                        <w:top w:val="none" w:sz="0" w:space="0" w:color="auto"/>
                        <w:left w:val="none" w:sz="0" w:space="0" w:color="auto"/>
                        <w:bottom w:val="none" w:sz="0" w:space="0" w:color="auto"/>
                        <w:right w:val="none" w:sz="0" w:space="0" w:color="auto"/>
                      </w:divBdr>
                    </w:div>
                  </w:divsChild>
                </w:div>
                <w:div w:id="1752195562">
                  <w:marLeft w:val="0"/>
                  <w:marRight w:val="0"/>
                  <w:marTop w:val="0"/>
                  <w:marBottom w:val="0"/>
                  <w:divBdr>
                    <w:top w:val="none" w:sz="0" w:space="0" w:color="auto"/>
                    <w:left w:val="none" w:sz="0" w:space="0" w:color="auto"/>
                    <w:bottom w:val="none" w:sz="0" w:space="0" w:color="auto"/>
                    <w:right w:val="none" w:sz="0" w:space="0" w:color="auto"/>
                  </w:divBdr>
                  <w:divsChild>
                    <w:div w:id="836383024">
                      <w:marLeft w:val="0"/>
                      <w:marRight w:val="0"/>
                      <w:marTop w:val="0"/>
                      <w:marBottom w:val="0"/>
                      <w:divBdr>
                        <w:top w:val="none" w:sz="0" w:space="0" w:color="auto"/>
                        <w:left w:val="none" w:sz="0" w:space="0" w:color="auto"/>
                        <w:bottom w:val="none" w:sz="0" w:space="0" w:color="auto"/>
                        <w:right w:val="none" w:sz="0" w:space="0" w:color="auto"/>
                      </w:divBdr>
                    </w:div>
                    <w:div w:id="202258912">
                      <w:marLeft w:val="0"/>
                      <w:marRight w:val="0"/>
                      <w:marTop w:val="0"/>
                      <w:marBottom w:val="0"/>
                      <w:divBdr>
                        <w:top w:val="none" w:sz="0" w:space="0" w:color="auto"/>
                        <w:left w:val="none" w:sz="0" w:space="0" w:color="auto"/>
                        <w:bottom w:val="none" w:sz="0" w:space="0" w:color="auto"/>
                        <w:right w:val="none" w:sz="0" w:space="0" w:color="auto"/>
                      </w:divBdr>
                    </w:div>
                  </w:divsChild>
                </w:div>
                <w:div w:id="877010611">
                  <w:marLeft w:val="0"/>
                  <w:marRight w:val="0"/>
                  <w:marTop w:val="0"/>
                  <w:marBottom w:val="0"/>
                  <w:divBdr>
                    <w:top w:val="none" w:sz="0" w:space="0" w:color="auto"/>
                    <w:left w:val="none" w:sz="0" w:space="0" w:color="auto"/>
                    <w:bottom w:val="none" w:sz="0" w:space="0" w:color="auto"/>
                    <w:right w:val="none" w:sz="0" w:space="0" w:color="auto"/>
                  </w:divBdr>
                  <w:divsChild>
                    <w:div w:id="2093231479">
                      <w:marLeft w:val="0"/>
                      <w:marRight w:val="0"/>
                      <w:marTop w:val="0"/>
                      <w:marBottom w:val="0"/>
                      <w:divBdr>
                        <w:top w:val="none" w:sz="0" w:space="0" w:color="auto"/>
                        <w:left w:val="none" w:sz="0" w:space="0" w:color="auto"/>
                        <w:bottom w:val="none" w:sz="0" w:space="0" w:color="auto"/>
                        <w:right w:val="none" w:sz="0" w:space="0" w:color="auto"/>
                      </w:divBdr>
                    </w:div>
                  </w:divsChild>
                </w:div>
                <w:div w:id="104082808">
                  <w:marLeft w:val="0"/>
                  <w:marRight w:val="0"/>
                  <w:marTop w:val="0"/>
                  <w:marBottom w:val="0"/>
                  <w:divBdr>
                    <w:top w:val="none" w:sz="0" w:space="0" w:color="auto"/>
                    <w:left w:val="none" w:sz="0" w:space="0" w:color="auto"/>
                    <w:bottom w:val="none" w:sz="0" w:space="0" w:color="auto"/>
                    <w:right w:val="none" w:sz="0" w:space="0" w:color="auto"/>
                  </w:divBdr>
                  <w:divsChild>
                    <w:div w:id="1073435090">
                      <w:marLeft w:val="0"/>
                      <w:marRight w:val="0"/>
                      <w:marTop w:val="0"/>
                      <w:marBottom w:val="0"/>
                      <w:divBdr>
                        <w:top w:val="none" w:sz="0" w:space="0" w:color="auto"/>
                        <w:left w:val="none" w:sz="0" w:space="0" w:color="auto"/>
                        <w:bottom w:val="none" w:sz="0" w:space="0" w:color="auto"/>
                        <w:right w:val="none" w:sz="0" w:space="0" w:color="auto"/>
                      </w:divBdr>
                    </w:div>
                  </w:divsChild>
                </w:div>
                <w:div w:id="1190099437">
                  <w:marLeft w:val="0"/>
                  <w:marRight w:val="0"/>
                  <w:marTop w:val="0"/>
                  <w:marBottom w:val="0"/>
                  <w:divBdr>
                    <w:top w:val="none" w:sz="0" w:space="0" w:color="auto"/>
                    <w:left w:val="none" w:sz="0" w:space="0" w:color="auto"/>
                    <w:bottom w:val="none" w:sz="0" w:space="0" w:color="auto"/>
                    <w:right w:val="none" w:sz="0" w:space="0" w:color="auto"/>
                  </w:divBdr>
                  <w:divsChild>
                    <w:div w:id="2030914817">
                      <w:marLeft w:val="0"/>
                      <w:marRight w:val="0"/>
                      <w:marTop w:val="0"/>
                      <w:marBottom w:val="0"/>
                      <w:divBdr>
                        <w:top w:val="none" w:sz="0" w:space="0" w:color="auto"/>
                        <w:left w:val="none" w:sz="0" w:space="0" w:color="auto"/>
                        <w:bottom w:val="none" w:sz="0" w:space="0" w:color="auto"/>
                        <w:right w:val="none" w:sz="0" w:space="0" w:color="auto"/>
                      </w:divBdr>
                    </w:div>
                  </w:divsChild>
                </w:div>
                <w:div w:id="774441372">
                  <w:marLeft w:val="0"/>
                  <w:marRight w:val="0"/>
                  <w:marTop w:val="0"/>
                  <w:marBottom w:val="0"/>
                  <w:divBdr>
                    <w:top w:val="none" w:sz="0" w:space="0" w:color="auto"/>
                    <w:left w:val="none" w:sz="0" w:space="0" w:color="auto"/>
                    <w:bottom w:val="none" w:sz="0" w:space="0" w:color="auto"/>
                    <w:right w:val="none" w:sz="0" w:space="0" w:color="auto"/>
                  </w:divBdr>
                  <w:divsChild>
                    <w:div w:id="567036437">
                      <w:marLeft w:val="0"/>
                      <w:marRight w:val="0"/>
                      <w:marTop w:val="0"/>
                      <w:marBottom w:val="0"/>
                      <w:divBdr>
                        <w:top w:val="none" w:sz="0" w:space="0" w:color="auto"/>
                        <w:left w:val="none" w:sz="0" w:space="0" w:color="auto"/>
                        <w:bottom w:val="none" w:sz="0" w:space="0" w:color="auto"/>
                        <w:right w:val="none" w:sz="0" w:space="0" w:color="auto"/>
                      </w:divBdr>
                    </w:div>
                  </w:divsChild>
                </w:div>
                <w:div w:id="1175193470">
                  <w:marLeft w:val="0"/>
                  <w:marRight w:val="0"/>
                  <w:marTop w:val="0"/>
                  <w:marBottom w:val="0"/>
                  <w:divBdr>
                    <w:top w:val="none" w:sz="0" w:space="0" w:color="auto"/>
                    <w:left w:val="none" w:sz="0" w:space="0" w:color="auto"/>
                    <w:bottom w:val="none" w:sz="0" w:space="0" w:color="auto"/>
                    <w:right w:val="none" w:sz="0" w:space="0" w:color="auto"/>
                  </w:divBdr>
                  <w:divsChild>
                    <w:div w:id="1023363239">
                      <w:marLeft w:val="0"/>
                      <w:marRight w:val="0"/>
                      <w:marTop w:val="0"/>
                      <w:marBottom w:val="0"/>
                      <w:divBdr>
                        <w:top w:val="none" w:sz="0" w:space="0" w:color="auto"/>
                        <w:left w:val="none" w:sz="0" w:space="0" w:color="auto"/>
                        <w:bottom w:val="none" w:sz="0" w:space="0" w:color="auto"/>
                        <w:right w:val="none" w:sz="0" w:space="0" w:color="auto"/>
                      </w:divBdr>
                    </w:div>
                  </w:divsChild>
                </w:div>
                <w:div w:id="934484570">
                  <w:marLeft w:val="0"/>
                  <w:marRight w:val="0"/>
                  <w:marTop w:val="0"/>
                  <w:marBottom w:val="0"/>
                  <w:divBdr>
                    <w:top w:val="none" w:sz="0" w:space="0" w:color="auto"/>
                    <w:left w:val="none" w:sz="0" w:space="0" w:color="auto"/>
                    <w:bottom w:val="none" w:sz="0" w:space="0" w:color="auto"/>
                    <w:right w:val="none" w:sz="0" w:space="0" w:color="auto"/>
                  </w:divBdr>
                  <w:divsChild>
                    <w:div w:id="1744720416">
                      <w:marLeft w:val="0"/>
                      <w:marRight w:val="0"/>
                      <w:marTop w:val="0"/>
                      <w:marBottom w:val="0"/>
                      <w:divBdr>
                        <w:top w:val="none" w:sz="0" w:space="0" w:color="auto"/>
                        <w:left w:val="none" w:sz="0" w:space="0" w:color="auto"/>
                        <w:bottom w:val="none" w:sz="0" w:space="0" w:color="auto"/>
                        <w:right w:val="none" w:sz="0" w:space="0" w:color="auto"/>
                      </w:divBdr>
                    </w:div>
                  </w:divsChild>
                </w:div>
                <w:div w:id="1873105394">
                  <w:marLeft w:val="0"/>
                  <w:marRight w:val="0"/>
                  <w:marTop w:val="0"/>
                  <w:marBottom w:val="0"/>
                  <w:divBdr>
                    <w:top w:val="none" w:sz="0" w:space="0" w:color="auto"/>
                    <w:left w:val="none" w:sz="0" w:space="0" w:color="auto"/>
                    <w:bottom w:val="none" w:sz="0" w:space="0" w:color="auto"/>
                    <w:right w:val="none" w:sz="0" w:space="0" w:color="auto"/>
                  </w:divBdr>
                  <w:divsChild>
                    <w:div w:id="119350773">
                      <w:marLeft w:val="0"/>
                      <w:marRight w:val="0"/>
                      <w:marTop w:val="0"/>
                      <w:marBottom w:val="0"/>
                      <w:divBdr>
                        <w:top w:val="none" w:sz="0" w:space="0" w:color="auto"/>
                        <w:left w:val="none" w:sz="0" w:space="0" w:color="auto"/>
                        <w:bottom w:val="none" w:sz="0" w:space="0" w:color="auto"/>
                        <w:right w:val="none" w:sz="0" w:space="0" w:color="auto"/>
                      </w:divBdr>
                    </w:div>
                    <w:div w:id="988099797">
                      <w:marLeft w:val="0"/>
                      <w:marRight w:val="0"/>
                      <w:marTop w:val="0"/>
                      <w:marBottom w:val="0"/>
                      <w:divBdr>
                        <w:top w:val="none" w:sz="0" w:space="0" w:color="auto"/>
                        <w:left w:val="none" w:sz="0" w:space="0" w:color="auto"/>
                        <w:bottom w:val="none" w:sz="0" w:space="0" w:color="auto"/>
                        <w:right w:val="none" w:sz="0" w:space="0" w:color="auto"/>
                      </w:divBdr>
                    </w:div>
                  </w:divsChild>
                </w:div>
                <w:div w:id="1272397233">
                  <w:marLeft w:val="0"/>
                  <w:marRight w:val="0"/>
                  <w:marTop w:val="0"/>
                  <w:marBottom w:val="0"/>
                  <w:divBdr>
                    <w:top w:val="none" w:sz="0" w:space="0" w:color="auto"/>
                    <w:left w:val="none" w:sz="0" w:space="0" w:color="auto"/>
                    <w:bottom w:val="none" w:sz="0" w:space="0" w:color="auto"/>
                    <w:right w:val="none" w:sz="0" w:space="0" w:color="auto"/>
                  </w:divBdr>
                  <w:divsChild>
                    <w:div w:id="1047029776">
                      <w:marLeft w:val="0"/>
                      <w:marRight w:val="0"/>
                      <w:marTop w:val="0"/>
                      <w:marBottom w:val="0"/>
                      <w:divBdr>
                        <w:top w:val="none" w:sz="0" w:space="0" w:color="auto"/>
                        <w:left w:val="none" w:sz="0" w:space="0" w:color="auto"/>
                        <w:bottom w:val="none" w:sz="0" w:space="0" w:color="auto"/>
                        <w:right w:val="none" w:sz="0" w:space="0" w:color="auto"/>
                      </w:divBdr>
                    </w:div>
                  </w:divsChild>
                </w:div>
                <w:div w:id="842285812">
                  <w:marLeft w:val="0"/>
                  <w:marRight w:val="0"/>
                  <w:marTop w:val="0"/>
                  <w:marBottom w:val="0"/>
                  <w:divBdr>
                    <w:top w:val="none" w:sz="0" w:space="0" w:color="auto"/>
                    <w:left w:val="none" w:sz="0" w:space="0" w:color="auto"/>
                    <w:bottom w:val="none" w:sz="0" w:space="0" w:color="auto"/>
                    <w:right w:val="none" w:sz="0" w:space="0" w:color="auto"/>
                  </w:divBdr>
                  <w:divsChild>
                    <w:div w:id="121249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489728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4534768">
      <w:bodyDiv w:val="1"/>
      <w:marLeft w:val="0"/>
      <w:marRight w:val="0"/>
      <w:marTop w:val="0"/>
      <w:marBottom w:val="0"/>
      <w:divBdr>
        <w:top w:val="none" w:sz="0" w:space="0" w:color="auto"/>
        <w:left w:val="none" w:sz="0" w:space="0" w:color="auto"/>
        <w:bottom w:val="none" w:sz="0" w:space="0" w:color="auto"/>
        <w:right w:val="none" w:sz="0" w:space="0" w:color="auto"/>
      </w:divBdr>
      <w:divsChild>
        <w:div w:id="889725986">
          <w:marLeft w:val="1800"/>
          <w:marRight w:val="0"/>
          <w:marTop w:val="82"/>
          <w:marBottom w:val="0"/>
          <w:divBdr>
            <w:top w:val="none" w:sz="0" w:space="0" w:color="auto"/>
            <w:left w:val="none" w:sz="0" w:space="0" w:color="auto"/>
            <w:bottom w:val="none" w:sz="0" w:space="0" w:color="auto"/>
            <w:right w:val="none" w:sz="0" w:space="0" w:color="auto"/>
          </w:divBdr>
        </w:div>
        <w:div w:id="147331949">
          <w:marLeft w:val="1800"/>
          <w:marRight w:val="0"/>
          <w:marTop w:val="82"/>
          <w:marBottom w:val="0"/>
          <w:divBdr>
            <w:top w:val="none" w:sz="0" w:space="0" w:color="auto"/>
            <w:left w:val="none" w:sz="0" w:space="0" w:color="auto"/>
            <w:bottom w:val="none" w:sz="0" w:space="0" w:color="auto"/>
            <w:right w:val="none" w:sz="0" w:space="0" w:color="auto"/>
          </w:divBdr>
        </w:div>
        <w:div w:id="446201179">
          <w:marLeft w:val="1800"/>
          <w:marRight w:val="0"/>
          <w:marTop w:val="82"/>
          <w:marBottom w:val="0"/>
          <w:divBdr>
            <w:top w:val="none" w:sz="0" w:space="0" w:color="auto"/>
            <w:left w:val="none" w:sz="0" w:space="0" w:color="auto"/>
            <w:bottom w:val="none" w:sz="0" w:space="0" w:color="auto"/>
            <w:right w:val="none" w:sz="0" w:space="0" w:color="auto"/>
          </w:divBdr>
        </w:div>
        <w:div w:id="1700624772">
          <w:marLeft w:val="1800"/>
          <w:marRight w:val="0"/>
          <w:marTop w:val="82"/>
          <w:marBottom w:val="0"/>
          <w:divBdr>
            <w:top w:val="none" w:sz="0" w:space="0" w:color="auto"/>
            <w:left w:val="none" w:sz="0" w:space="0" w:color="auto"/>
            <w:bottom w:val="none" w:sz="0" w:space="0" w:color="auto"/>
            <w:right w:val="none" w:sz="0" w:space="0" w:color="auto"/>
          </w:divBdr>
        </w:div>
      </w:divsChild>
    </w:div>
    <w:div w:id="1954247173">
      <w:bodyDiv w:val="1"/>
      <w:marLeft w:val="0"/>
      <w:marRight w:val="0"/>
      <w:marTop w:val="0"/>
      <w:marBottom w:val="0"/>
      <w:divBdr>
        <w:top w:val="none" w:sz="0" w:space="0" w:color="auto"/>
        <w:left w:val="none" w:sz="0" w:space="0" w:color="auto"/>
        <w:bottom w:val="none" w:sz="0" w:space="0" w:color="auto"/>
        <w:right w:val="none" w:sz="0" w:space="0" w:color="auto"/>
      </w:divBdr>
      <w:divsChild>
        <w:div w:id="1568759738">
          <w:marLeft w:val="547"/>
          <w:marRight w:val="0"/>
          <w:marTop w:val="134"/>
          <w:marBottom w:val="0"/>
          <w:divBdr>
            <w:top w:val="none" w:sz="0" w:space="0" w:color="auto"/>
            <w:left w:val="none" w:sz="0" w:space="0" w:color="auto"/>
            <w:bottom w:val="none" w:sz="0" w:space="0" w:color="auto"/>
            <w:right w:val="none" w:sz="0" w:space="0" w:color="auto"/>
          </w:divBdr>
        </w:div>
        <w:div w:id="1823303453">
          <w:marLeft w:val="1166"/>
          <w:marRight w:val="0"/>
          <w:marTop w:val="134"/>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8849971">
      <w:bodyDiv w:val="1"/>
      <w:marLeft w:val="0"/>
      <w:marRight w:val="0"/>
      <w:marTop w:val="0"/>
      <w:marBottom w:val="0"/>
      <w:divBdr>
        <w:top w:val="none" w:sz="0" w:space="0" w:color="auto"/>
        <w:left w:val="none" w:sz="0" w:space="0" w:color="auto"/>
        <w:bottom w:val="none" w:sz="0" w:space="0" w:color="auto"/>
        <w:right w:val="none" w:sz="0" w:space="0" w:color="auto"/>
      </w:divBdr>
    </w:div>
    <w:div w:id="2023125291">
      <w:bodyDiv w:val="1"/>
      <w:marLeft w:val="0"/>
      <w:marRight w:val="0"/>
      <w:marTop w:val="0"/>
      <w:marBottom w:val="0"/>
      <w:divBdr>
        <w:top w:val="none" w:sz="0" w:space="0" w:color="auto"/>
        <w:left w:val="none" w:sz="0" w:space="0" w:color="auto"/>
        <w:bottom w:val="none" w:sz="0" w:space="0" w:color="auto"/>
        <w:right w:val="none" w:sz="0" w:space="0" w:color="auto"/>
      </w:divBdr>
      <w:divsChild>
        <w:div w:id="1015765183">
          <w:marLeft w:val="0"/>
          <w:marRight w:val="0"/>
          <w:marTop w:val="0"/>
          <w:marBottom w:val="0"/>
          <w:divBdr>
            <w:top w:val="none" w:sz="0" w:space="0" w:color="auto"/>
            <w:left w:val="none" w:sz="0" w:space="0" w:color="auto"/>
            <w:bottom w:val="none" w:sz="0" w:space="0" w:color="auto"/>
            <w:right w:val="none" w:sz="0" w:space="0" w:color="auto"/>
          </w:divBdr>
        </w:div>
        <w:div w:id="1474102388">
          <w:marLeft w:val="0"/>
          <w:marRight w:val="0"/>
          <w:marTop w:val="0"/>
          <w:marBottom w:val="0"/>
          <w:divBdr>
            <w:top w:val="none" w:sz="0" w:space="0" w:color="auto"/>
            <w:left w:val="none" w:sz="0" w:space="0" w:color="auto"/>
            <w:bottom w:val="none" w:sz="0" w:space="0" w:color="auto"/>
            <w:right w:val="none" w:sz="0" w:space="0" w:color="auto"/>
          </w:divBdr>
        </w:div>
        <w:div w:id="656029910">
          <w:marLeft w:val="0"/>
          <w:marRight w:val="0"/>
          <w:marTop w:val="0"/>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4566580">
      <w:bodyDiv w:val="1"/>
      <w:marLeft w:val="0"/>
      <w:marRight w:val="0"/>
      <w:marTop w:val="0"/>
      <w:marBottom w:val="0"/>
      <w:divBdr>
        <w:top w:val="none" w:sz="0" w:space="0" w:color="auto"/>
        <w:left w:val="none" w:sz="0" w:space="0" w:color="auto"/>
        <w:bottom w:val="none" w:sz="0" w:space="0" w:color="auto"/>
        <w:right w:val="none" w:sz="0" w:space="0" w:color="auto"/>
      </w:divBdr>
    </w:div>
    <w:div w:id="2116054113">
      <w:bodyDiv w:val="1"/>
      <w:marLeft w:val="0"/>
      <w:marRight w:val="0"/>
      <w:marTop w:val="0"/>
      <w:marBottom w:val="0"/>
      <w:divBdr>
        <w:top w:val="none" w:sz="0" w:space="0" w:color="auto"/>
        <w:left w:val="none" w:sz="0" w:space="0" w:color="auto"/>
        <w:bottom w:val="none" w:sz="0" w:space="0" w:color="auto"/>
        <w:right w:val="none" w:sz="0" w:space="0" w:color="auto"/>
      </w:divBdr>
      <w:divsChild>
        <w:div w:id="769276988">
          <w:marLeft w:val="1166"/>
          <w:marRight w:val="0"/>
          <w:marTop w:val="86"/>
          <w:marBottom w:val="0"/>
          <w:divBdr>
            <w:top w:val="none" w:sz="0" w:space="0" w:color="auto"/>
            <w:left w:val="none" w:sz="0" w:space="0" w:color="auto"/>
            <w:bottom w:val="none" w:sz="0" w:space="0" w:color="auto"/>
            <w:right w:val="none" w:sz="0" w:space="0" w:color="auto"/>
          </w:divBdr>
        </w:div>
        <w:div w:id="1574268142">
          <w:marLeft w:val="1800"/>
          <w:marRight w:val="0"/>
          <w:marTop w:val="82"/>
          <w:marBottom w:val="0"/>
          <w:divBdr>
            <w:top w:val="none" w:sz="0" w:space="0" w:color="auto"/>
            <w:left w:val="none" w:sz="0" w:space="0" w:color="auto"/>
            <w:bottom w:val="none" w:sz="0" w:space="0" w:color="auto"/>
            <w:right w:val="none" w:sz="0" w:space="0" w:color="auto"/>
          </w:divBdr>
        </w:div>
        <w:div w:id="47994656">
          <w:marLeft w:val="1800"/>
          <w:marRight w:val="0"/>
          <w:marTop w:val="82"/>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2164968">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3277836">
      <w:bodyDiv w:val="1"/>
      <w:marLeft w:val="0"/>
      <w:marRight w:val="0"/>
      <w:marTop w:val="0"/>
      <w:marBottom w:val="0"/>
      <w:divBdr>
        <w:top w:val="none" w:sz="0" w:space="0" w:color="auto"/>
        <w:left w:val="none" w:sz="0" w:space="0" w:color="auto"/>
        <w:bottom w:val="none" w:sz="0" w:space="0" w:color="auto"/>
        <w:right w:val="none" w:sz="0" w:space="0" w:color="auto"/>
      </w:divBdr>
      <w:divsChild>
        <w:div w:id="1173643654">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B1E470E6-9E72-40CA-A92B-443F0C759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2343</Words>
  <Characters>13033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2020-05-15T09:06:00Z</dcterms:created>
  <dcterms:modified xsi:type="dcterms:W3CDTF">2020-08-07T14:21:00Z</dcterms:modified>
</cp:coreProperties>
</file>